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57B21" w14:textId="01EDC661" w:rsidR="002D00BC" w:rsidRDefault="007175E3" w:rsidP="00C15F0E">
      <w:pPr>
        <w:pStyle w:val="Titel"/>
      </w:pPr>
      <w:r w:rsidRPr="002D00BC">
        <w:rPr>
          <w:noProof/>
          <w:lang w:val="nl-BE" w:eastAsia="nl-BE"/>
        </w:rPr>
        <w:drawing>
          <wp:anchor distT="0" distB="0" distL="114300" distR="114300" simplePos="0" relativeHeight="251657216" behindDoc="0" locked="0" layoutInCell="1" allowOverlap="1" wp14:anchorId="3F557B5D" wp14:editId="0DAB259A">
            <wp:simplePos x="0" y="0"/>
            <wp:positionH relativeFrom="column">
              <wp:posOffset>8255</wp:posOffset>
            </wp:positionH>
            <wp:positionV relativeFrom="paragraph">
              <wp:posOffset>95885</wp:posOffset>
            </wp:positionV>
            <wp:extent cx="2699385" cy="1390650"/>
            <wp:effectExtent l="0" t="0" r="5715" b="0"/>
            <wp:wrapNone/>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13" cstate="print"/>
                    <a:srcRect/>
                    <a:stretch>
                      <a:fillRect/>
                    </a:stretch>
                  </pic:blipFill>
                  <pic:spPr bwMode="auto">
                    <a:xfrm>
                      <a:off x="0" y="0"/>
                      <a:ext cx="2699385" cy="1390650"/>
                    </a:xfrm>
                    <a:prstGeom prst="rect">
                      <a:avLst/>
                    </a:prstGeom>
                    <a:noFill/>
                    <a:ln w="9525">
                      <a:noFill/>
                      <a:miter lim="800000"/>
                      <a:headEnd/>
                      <a:tailEnd/>
                    </a:ln>
                  </pic:spPr>
                </pic:pic>
              </a:graphicData>
            </a:graphic>
          </wp:anchor>
        </w:drawing>
      </w:r>
      <w:r w:rsidR="008C1427">
        <w:rPr>
          <w:noProof/>
          <w:lang w:val="nl-BE" w:eastAsia="nl-BE"/>
        </w:rPr>
        <w:drawing>
          <wp:anchor distT="0" distB="0" distL="114300" distR="114300" simplePos="0" relativeHeight="251660288" behindDoc="0" locked="0" layoutInCell="1" allowOverlap="1" wp14:anchorId="6BA9EE6D" wp14:editId="19E03A74">
            <wp:simplePos x="0" y="0"/>
            <wp:positionH relativeFrom="column">
              <wp:posOffset>-135890</wp:posOffset>
            </wp:positionH>
            <wp:positionV relativeFrom="paragraph">
              <wp:posOffset>51435</wp:posOffset>
            </wp:positionV>
            <wp:extent cx="3434080" cy="981075"/>
            <wp:effectExtent l="0" t="0" r="0" b="9525"/>
            <wp:wrapSquare wrapText="bothSides"/>
            <wp:docPr id="1" name="Afbeelding 1"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S.vlor\Desktop\eu_flag_co_funded_pos_[rgb]_righ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408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57B22" w14:textId="77777777" w:rsidR="002D00BC" w:rsidRDefault="002D00BC" w:rsidP="00C15F0E">
      <w:pPr>
        <w:pStyle w:val="Titel"/>
      </w:pPr>
    </w:p>
    <w:p w14:paraId="3F557B23" w14:textId="5558A523" w:rsidR="0053351E" w:rsidRDefault="0053351E" w:rsidP="009258A8">
      <w:pPr>
        <w:pStyle w:val="Titel"/>
        <w:jc w:val="center"/>
      </w:pPr>
    </w:p>
    <w:p w14:paraId="3F557B24" w14:textId="77777777" w:rsidR="0053351E" w:rsidRDefault="0053351E" w:rsidP="009258A8">
      <w:pPr>
        <w:pStyle w:val="Titel"/>
        <w:jc w:val="center"/>
      </w:pPr>
    </w:p>
    <w:p w14:paraId="3F557B25" w14:textId="77777777" w:rsidR="0053351E" w:rsidRDefault="0053351E" w:rsidP="009258A8">
      <w:pPr>
        <w:pStyle w:val="Titel"/>
        <w:jc w:val="center"/>
      </w:pPr>
    </w:p>
    <w:p w14:paraId="3F557B26" w14:textId="77777777" w:rsidR="0053351E" w:rsidRPr="00DF15E4" w:rsidRDefault="00A733B5" w:rsidP="00DF15E4">
      <w:pPr>
        <w:pStyle w:val="Titel"/>
        <w:jc w:val="center"/>
      </w:pPr>
      <w:r>
        <w:t>Conference</w:t>
      </w:r>
    </w:p>
    <w:p w14:paraId="3F557B27" w14:textId="77777777" w:rsidR="00DF15E4" w:rsidRPr="00DF15E4" w:rsidRDefault="0053351E" w:rsidP="00DF15E4">
      <w:pPr>
        <w:pStyle w:val="Titel"/>
        <w:jc w:val="center"/>
      </w:pPr>
      <w:r w:rsidRPr="00DF15E4">
        <w:t>‘</w:t>
      </w:r>
      <w:r w:rsidR="00A733B5">
        <w:t>Bridging the transition between education and the labour market’</w:t>
      </w:r>
    </w:p>
    <w:p w14:paraId="3F557B28" w14:textId="77777777" w:rsidR="00C15F0E" w:rsidRPr="00DF15E4" w:rsidRDefault="00A733B5" w:rsidP="00DF15E4">
      <w:pPr>
        <w:pStyle w:val="Titel"/>
        <w:jc w:val="center"/>
      </w:pPr>
      <w:r>
        <w:t>Prague</w:t>
      </w:r>
      <w:r w:rsidR="0053351E" w:rsidRPr="00DF15E4">
        <w:t xml:space="preserve">, </w:t>
      </w:r>
      <w:r>
        <w:t>20-21 October</w:t>
      </w:r>
      <w:r w:rsidR="0053351E" w:rsidRPr="00DF15E4">
        <w:t xml:space="preserve"> 2014</w:t>
      </w:r>
    </w:p>
    <w:p w14:paraId="3F557B29" w14:textId="23358014" w:rsidR="005C4EA5" w:rsidRPr="00DF15E4" w:rsidRDefault="00697223" w:rsidP="00DF15E4">
      <w:pPr>
        <w:pStyle w:val="Titel"/>
        <w:jc w:val="center"/>
      </w:pPr>
      <w:r>
        <w:t>Final programme</w:t>
      </w:r>
    </w:p>
    <w:p w14:paraId="3F557B2A" w14:textId="77777777" w:rsidR="00926A84" w:rsidRDefault="00C15F0E" w:rsidP="00926A84">
      <w:pPr>
        <w:pStyle w:val="Kop1"/>
      </w:pPr>
      <w:r w:rsidRPr="00C15F0E">
        <w:t>Central question</w:t>
      </w:r>
    </w:p>
    <w:p w14:paraId="68FF3905" w14:textId="77777777" w:rsidR="003840AD" w:rsidRDefault="003840AD" w:rsidP="00153EB5">
      <w:pPr>
        <w:jc w:val="both"/>
        <w:rPr>
          <w:sz w:val="24"/>
          <w:szCs w:val="24"/>
        </w:rPr>
      </w:pPr>
    </w:p>
    <w:p w14:paraId="264515E9" w14:textId="0F34278B" w:rsidR="003332F7" w:rsidRDefault="003332F7" w:rsidP="003332F7">
      <w:pPr>
        <w:pStyle w:val="Kop2"/>
      </w:pPr>
      <w:r>
        <w:t xml:space="preserve">Previous work of Eunec </w:t>
      </w:r>
    </w:p>
    <w:p w14:paraId="3F557B2C" w14:textId="19F1F65F" w:rsidR="001D2345" w:rsidRPr="00153EB5" w:rsidRDefault="00F1361A" w:rsidP="00153EB5">
      <w:pPr>
        <w:jc w:val="both"/>
        <w:rPr>
          <w:sz w:val="24"/>
          <w:szCs w:val="24"/>
        </w:rPr>
      </w:pPr>
      <w:r>
        <w:rPr>
          <w:sz w:val="24"/>
          <w:szCs w:val="24"/>
        </w:rPr>
        <w:t>V</w:t>
      </w:r>
      <w:r w:rsidR="001D2345" w:rsidRPr="00153EB5">
        <w:rPr>
          <w:sz w:val="24"/>
          <w:szCs w:val="24"/>
        </w:rPr>
        <w:t xml:space="preserve">ocational education and training (VET) </w:t>
      </w:r>
      <w:r>
        <w:rPr>
          <w:sz w:val="24"/>
          <w:szCs w:val="24"/>
        </w:rPr>
        <w:t xml:space="preserve">are </w:t>
      </w:r>
      <w:r w:rsidR="00002BEA">
        <w:rPr>
          <w:sz w:val="24"/>
          <w:szCs w:val="24"/>
        </w:rPr>
        <w:t xml:space="preserve">already </w:t>
      </w:r>
      <w:r>
        <w:rPr>
          <w:sz w:val="24"/>
          <w:szCs w:val="24"/>
        </w:rPr>
        <w:t xml:space="preserve">many years </w:t>
      </w:r>
      <w:r w:rsidR="001D2345" w:rsidRPr="00153EB5">
        <w:rPr>
          <w:sz w:val="24"/>
          <w:szCs w:val="24"/>
        </w:rPr>
        <w:t xml:space="preserve">high on the </w:t>
      </w:r>
      <w:r w:rsidR="009A1F24">
        <w:rPr>
          <w:sz w:val="24"/>
          <w:szCs w:val="24"/>
        </w:rPr>
        <w:t>agenda</w:t>
      </w:r>
      <w:r w:rsidR="00916E5B">
        <w:rPr>
          <w:sz w:val="24"/>
          <w:szCs w:val="24"/>
        </w:rPr>
        <w:t xml:space="preserve"> of Eunec</w:t>
      </w:r>
      <w:r>
        <w:rPr>
          <w:sz w:val="24"/>
          <w:szCs w:val="24"/>
        </w:rPr>
        <w:t xml:space="preserve"> and of the member education councils</w:t>
      </w:r>
      <w:r w:rsidR="009A1F24">
        <w:rPr>
          <w:sz w:val="24"/>
          <w:szCs w:val="24"/>
        </w:rPr>
        <w:t xml:space="preserve">. </w:t>
      </w:r>
      <w:r w:rsidR="00B154C4">
        <w:rPr>
          <w:sz w:val="24"/>
          <w:szCs w:val="24"/>
        </w:rPr>
        <w:t>The Copenhagen declaration of 2002 was a starting point for reflection and policy advice aiming at raising the profile of vocationa</w:t>
      </w:r>
      <w:r w:rsidR="00916E5B">
        <w:rPr>
          <w:sz w:val="24"/>
          <w:szCs w:val="24"/>
        </w:rPr>
        <w:t xml:space="preserve">l education and training </w:t>
      </w:r>
      <w:r w:rsidR="00B154C4">
        <w:rPr>
          <w:sz w:val="24"/>
          <w:szCs w:val="24"/>
        </w:rPr>
        <w:t xml:space="preserve">from the perspective of lifelong learning and integration of different learning pathways.  </w:t>
      </w:r>
    </w:p>
    <w:p w14:paraId="75F58B07" w14:textId="670E2BEC" w:rsidR="003840AD" w:rsidRDefault="003840AD" w:rsidP="00A30B46">
      <w:pPr>
        <w:pStyle w:val="Standaardopsomming1"/>
        <w:spacing w:line="276" w:lineRule="auto"/>
        <w:ind w:left="567" w:hanging="567"/>
        <w:jc w:val="both"/>
      </w:pPr>
      <w:r>
        <w:t xml:space="preserve">In 2006 the concept of key competences for vulnerable groups was discussed and developed. </w:t>
      </w:r>
    </w:p>
    <w:p w14:paraId="77242C5E" w14:textId="6CBB16ED" w:rsidR="009A1F24" w:rsidRDefault="001D2345" w:rsidP="00A30B46">
      <w:pPr>
        <w:pStyle w:val="Standaardopsomming1"/>
        <w:spacing w:line="276" w:lineRule="auto"/>
        <w:ind w:left="567" w:hanging="567"/>
        <w:jc w:val="both"/>
      </w:pPr>
      <w:r w:rsidRPr="00153EB5">
        <w:t xml:space="preserve">In </w:t>
      </w:r>
      <w:r w:rsidR="00153EB5">
        <w:t xml:space="preserve">2007 </w:t>
      </w:r>
      <w:r w:rsidR="00F1361A">
        <w:t>Eunec</w:t>
      </w:r>
      <w:r w:rsidRPr="00153EB5">
        <w:t xml:space="preserve"> discussed </w:t>
      </w:r>
      <w:r w:rsidR="009A1F24">
        <w:t xml:space="preserve">the first drafts for </w:t>
      </w:r>
      <w:r w:rsidRPr="00153EB5">
        <w:t>transparency instruments for VET: the European Qualifications Framework (EQF)</w:t>
      </w:r>
      <w:r w:rsidR="00B154C4">
        <w:t xml:space="preserve"> and the feasibility of a </w:t>
      </w:r>
      <w:r w:rsidRPr="00153EB5">
        <w:t>European Credit System for VET</w:t>
      </w:r>
      <w:r w:rsidR="00B154C4">
        <w:t xml:space="preserve">. </w:t>
      </w:r>
    </w:p>
    <w:p w14:paraId="2DF5EF94" w14:textId="6100BB1B" w:rsidR="009A1F24" w:rsidRDefault="009A1F24" w:rsidP="00A30B46">
      <w:pPr>
        <w:pStyle w:val="Standaardopsomming1"/>
        <w:spacing w:line="276" w:lineRule="auto"/>
        <w:ind w:left="567" w:hanging="567"/>
        <w:jc w:val="both"/>
      </w:pPr>
      <w:r>
        <w:t>In 2008 the central question of the conference was the paradigm shi</w:t>
      </w:r>
      <w:r w:rsidR="00F1361A">
        <w:t>ft</w:t>
      </w:r>
      <w:r>
        <w:t xml:space="preserve"> towards</w:t>
      </w:r>
      <w:r w:rsidRPr="00153EB5">
        <w:t xml:space="preserve"> learning outcomes.</w:t>
      </w:r>
      <w:r>
        <w:t xml:space="preserve"> </w:t>
      </w:r>
      <w:r w:rsidR="003840AD">
        <w:t xml:space="preserve">Learning outcomes were seen as a common and underlying concept for renewal of both general and professional educational strands. </w:t>
      </w:r>
      <w:r w:rsidR="006E5648">
        <w:t>This was the case</w:t>
      </w:r>
      <w:r w:rsidR="00F1361A">
        <w:t xml:space="preserve"> in compulsory education as well as in adult learning because </w:t>
      </w:r>
      <w:r w:rsidR="003840AD">
        <w:t xml:space="preserve">competences acquired in non- formal learning strengthen the concept of lifelong learning. </w:t>
      </w:r>
    </w:p>
    <w:p w14:paraId="35C7AB3C" w14:textId="543BF138" w:rsidR="00055186" w:rsidRPr="00153EB5" w:rsidRDefault="00055186" w:rsidP="00A30B46">
      <w:pPr>
        <w:pStyle w:val="Standaardopsomming1"/>
        <w:spacing w:line="276" w:lineRule="auto"/>
        <w:ind w:left="567" w:hanging="567"/>
        <w:jc w:val="both"/>
      </w:pPr>
      <w:r>
        <w:t>In Budapest</w:t>
      </w:r>
      <w:r w:rsidR="00A1721A">
        <w:t>,</w:t>
      </w:r>
      <w:r>
        <w:t xml:space="preserve"> </w:t>
      </w:r>
      <w:r w:rsidR="00A1721A">
        <w:t>in 2009,</w:t>
      </w:r>
      <w:r>
        <w:t xml:space="preserve"> Eunec debated on the concept and stru</w:t>
      </w:r>
      <w:r w:rsidR="00A1721A">
        <w:t>ctures for g</w:t>
      </w:r>
      <w:r>
        <w:t xml:space="preserve">uidance.  </w:t>
      </w:r>
    </w:p>
    <w:p w14:paraId="3F557B30" w14:textId="40D6E414" w:rsidR="001D2345" w:rsidRDefault="001D2345" w:rsidP="00A30B46">
      <w:pPr>
        <w:pStyle w:val="Standaardopsomming1"/>
        <w:spacing w:line="276" w:lineRule="auto"/>
        <w:ind w:left="567" w:hanging="567"/>
        <w:jc w:val="both"/>
      </w:pPr>
      <w:r w:rsidRPr="00153EB5">
        <w:lastRenderedPageBreak/>
        <w:t xml:space="preserve">In Lisbon, in 2011, the focus </w:t>
      </w:r>
      <w:r w:rsidR="00483B3A">
        <w:t xml:space="preserve">of the conference was on the relationship between the attractiveness of VET and of adult learning on the one hand and between VET and </w:t>
      </w:r>
      <w:r w:rsidRPr="00153EB5">
        <w:t>Science, Technology, Engi</w:t>
      </w:r>
      <w:r w:rsidR="00483B3A">
        <w:t xml:space="preserve">neering and Mathematics (STEM) on the other hand. </w:t>
      </w:r>
    </w:p>
    <w:p w14:paraId="4EF51B1B" w14:textId="67F76BD3" w:rsidR="00A1721A" w:rsidRDefault="00A1721A" w:rsidP="00A1721A">
      <w:pPr>
        <w:pStyle w:val="Kop2"/>
      </w:pPr>
      <w:r>
        <w:t xml:space="preserve">Relevance of the theme </w:t>
      </w:r>
    </w:p>
    <w:p w14:paraId="2C1DC522" w14:textId="77777777" w:rsidR="00A1721A" w:rsidRDefault="00A1721A" w:rsidP="00A1721A">
      <w:pPr>
        <w:jc w:val="both"/>
        <w:rPr>
          <w:sz w:val="24"/>
          <w:szCs w:val="24"/>
        </w:rPr>
      </w:pPr>
      <w:r>
        <w:rPr>
          <w:sz w:val="24"/>
          <w:szCs w:val="24"/>
        </w:rPr>
        <w:t xml:space="preserve">This theme is relevant for different reasons: </w:t>
      </w:r>
    </w:p>
    <w:p w14:paraId="31E2F128" w14:textId="2B36527D" w:rsidR="00A1721A" w:rsidRPr="00A30B46" w:rsidRDefault="00A1721A" w:rsidP="00A30B46">
      <w:pPr>
        <w:pStyle w:val="Standaardopsomming1"/>
        <w:spacing w:line="276" w:lineRule="auto"/>
        <w:ind w:left="567" w:hanging="567"/>
        <w:jc w:val="both"/>
      </w:pPr>
      <w:r>
        <w:t>Young citizens paid a high price fo</w:t>
      </w:r>
      <w:r w:rsidR="006E5648">
        <w:t xml:space="preserve">r the current economic crisis. </w:t>
      </w:r>
      <w:r w:rsidR="006E5648" w:rsidRPr="006E5648">
        <w:rPr>
          <w:lang w:val="en"/>
        </w:rPr>
        <w:t>From the second quarter of 2008, the youth unemployment rate has taken an upward trend peaking in 23,6 % in the first quarter 2013, before receding t</w:t>
      </w:r>
      <w:r w:rsidR="006E5648">
        <w:rPr>
          <w:lang w:val="en"/>
        </w:rPr>
        <w:t xml:space="preserve">o 23.1 % at the end of the year (Eurostat). </w:t>
      </w:r>
      <w:r>
        <w:t xml:space="preserve"> Another worrying phenomenon is the ongoing skills mismatch between</w:t>
      </w:r>
      <w:r w:rsidR="006E5648">
        <w:t xml:space="preserve"> the competences and competence</w:t>
      </w:r>
      <w:r>
        <w:t xml:space="preserve"> levels of those leaving the school and the competences and</w:t>
      </w:r>
      <w:r w:rsidR="00916E5B">
        <w:t xml:space="preserve"> competence levels needed in a ‘learning economy’</w:t>
      </w:r>
      <w:r>
        <w:t>.</w:t>
      </w:r>
    </w:p>
    <w:p w14:paraId="423CA967" w14:textId="50F95CF8" w:rsidR="00A1721A" w:rsidRDefault="00A1721A" w:rsidP="00A30B46">
      <w:pPr>
        <w:pStyle w:val="Standaardopsomming1"/>
        <w:spacing w:line="276" w:lineRule="auto"/>
        <w:ind w:left="567" w:hanging="567"/>
        <w:jc w:val="both"/>
      </w:pPr>
      <w:r>
        <w:t>The transitions between education and labour market are therefore a main strategic line in the working program</w:t>
      </w:r>
      <w:r w:rsidR="00916E5B">
        <w:t>me</w:t>
      </w:r>
      <w:r>
        <w:t xml:space="preserve">s of all education councils as it is also a common red line in the national education policies.  </w:t>
      </w:r>
    </w:p>
    <w:p w14:paraId="2C3B9A1A" w14:textId="64BA64F6" w:rsidR="00A1721A" w:rsidRPr="00153EB5" w:rsidRDefault="00A1721A" w:rsidP="00A30B46">
      <w:pPr>
        <w:pStyle w:val="Standaardopsomming1"/>
        <w:spacing w:line="276" w:lineRule="auto"/>
        <w:ind w:left="567" w:hanging="567"/>
        <w:jc w:val="both"/>
      </w:pPr>
      <w:r>
        <w:t xml:space="preserve">The theme is also high on </w:t>
      </w:r>
      <w:r w:rsidR="006E5648">
        <w:t>the EU-</w:t>
      </w:r>
      <w:r w:rsidRPr="00153EB5">
        <w:t>agenda</w:t>
      </w:r>
      <w:r w:rsidR="006E5648">
        <w:t>,</w:t>
      </w:r>
      <w:r w:rsidRPr="00153EB5">
        <w:t xml:space="preserve"> </w:t>
      </w:r>
      <w:r w:rsidR="006E5648">
        <w:t>in the</w:t>
      </w:r>
      <w:r>
        <w:t xml:space="preserve"> Europe 2020-strategy in general and </w:t>
      </w:r>
      <w:r w:rsidR="006E5648">
        <w:t>in the C</w:t>
      </w:r>
      <w:r>
        <w:t xml:space="preserve">ommunication on </w:t>
      </w:r>
      <w:r w:rsidRPr="00153EB5">
        <w:t xml:space="preserve">apprenticeships </w:t>
      </w:r>
      <w:r>
        <w:t xml:space="preserve">in particular </w:t>
      </w:r>
      <w:r w:rsidRPr="00153EB5">
        <w:t>(DG Employment)</w:t>
      </w:r>
      <w:r>
        <w:t xml:space="preserve">.  The theme is also part of the ongoing work in the development of common instruments for transparency in the slipstream of the Copenhagen Declaration.  </w:t>
      </w:r>
    </w:p>
    <w:p w14:paraId="5EDDA63C" w14:textId="357A1F96" w:rsidR="003332F7" w:rsidRDefault="003332F7" w:rsidP="00A1721A">
      <w:pPr>
        <w:pStyle w:val="Standaardopsomming1"/>
        <w:numPr>
          <w:ilvl w:val="0"/>
          <w:numId w:val="0"/>
        </w:numPr>
        <w:spacing w:line="276" w:lineRule="auto"/>
        <w:jc w:val="both"/>
      </w:pPr>
    </w:p>
    <w:p w14:paraId="783F221C" w14:textId="2A348798" w:rsidR="003332F7" w:rsidRDefault="003332F7" w:rsidP="003332F7">
      <w:pPr>
        <w:pStyle w:val="Kop2"/>
      </w:pPr>
      <w:r>
        <w:t xml:space="preserve">Central question for the conference </w:t>
      </w:r>
    </w:p>
    <w:p w14:paraId="627CA005" w14:textId="562ADBDD" w:rsidR="00483B3A" w:rsidRDefault="00F1361A" w:rsidP="009A4E1D">
      <w:pPr>
        <w:jc w:val="both"/>
        <w:rPr>
          <w:sz w:val="24"/>
          <w:szCs w:val="24"/>
        </w:rPr>
      </w:pPr>
      <w:r>
        <w:rPr>
          <w:sz w:val="24"/>
          <w:szCs w:val="24"/>
        </w:rPr>
        <w:t xml:space="preserve">This conference is adding a different angle and a new perspective to the </w:t>
      </w:r>
      <w:r w:rsidR="009A4E1D">
        <w:rPr>
          <w:sz w:val="24"/>
          <w:szCs w:val="24"/>
        </w:rPr>
        <w:t>Eunec</w:t>
      </w:r>
      <w:r w:rsidR="00A1721A">
        <w:rPr>
          <w:sz w:val="24"/>
          <w:szCs w:val="24"/>
        </w:rPr>
        <w:t xml:space="preserve"> </w:t>
      </w:r>
      <w:r>
        <w:rPr>
          <w:sz w:val="24"/>
          <w:szCs w:val="24"/>
        </w:rPr>
        <w:t>work already done.  Based o</w:t>
      </w:r>
      <w:r w:rsidR="00483B3A">
        <w:rPr>
          <w:sz w:val="24"/>
          <w:szCs w:val="24"/>
        </w:rPr>
        <w:t xml:space="preserve">n discussions of the </w:t>
      </w:r>
      <w:r w:rsidR="001D2345" w:rsidRPr="00153EB5">
        <w:rPr>
          <w:sz w:val="24"/>
          <w:szCs w:val="24"/>
        </w:rPr>
        <w:t>executive committee</w:t>
      </w:r>
      <w:r w:rsidR="00483B3A">
        <w:rPr>
          <w:sz w:val="24"/>
          <w:szCs w:val="24"/>
        </w:rPr>
        <w:t xml:space="preserve"> and </w:t>
      </w:r>
      <w:r w:rsidR="001D2345" w:rsidRPr="00153EB5">
        <w:rPr>
          <w:sz w:val="24"/>
          <w:szCs w:val="24"/>
        </w:rPr>
        <w:t xml:space="preserve">the preparatory working group, </w:t>
      </w:r>
      <w:r w:rsidR="009A4E1D">
        <w:rPr>
          <w:sz w:val="24"/>
          <w:szCs w:val="24"/>
        </w:rPr>
        <w:t>Eunec</w:t>
      </w:r>
      <w:r w:rsidR="00483B3A">
        <w:rPr>
          <w:sz w:val="24"/>
          <w:szCs w:val="24"/>
        </w:rPr>
        <w:t xml:space="preserve"> decided to explore in </w:t>
      </w:r>
      <w:r w:rsidR="00BE2299">
        <w:rPr>
          <w:sz w:val="24"/>
          <w:szCs w:val="24"/>
        </w:rPr>
        <w:t xml:space="preserve">depth </w:t>
      </w:r>
      <w:r w:rsidR="001D2345" w:rsidRPr="00153EB5">
        <w:rPr>
          <w:sz w:val="24"/>
          <w:szCs w:val="24"/>
        </w:rPr>
        <w:t xml:space="preserve">the </w:t>
      </w:r>
      <w:r>
        <w:rPr>
          <w:sz w:val="24"/>
          <w:szCs w:val="24"/>
        </w:rPr>
        <w:t xml:space="preserve">strategies </w:t>
      </w:r>
      <w:r w:rsidR="00483B3A">
        <w:rPr>
          <w:sz w:val="24"/>
          <w:szCs w:val="24"/>
        </w:rPr>
        <w:t xml:space="preserve">to </w:t>
      </w:r>
      <w:r w:rsidR="003332F7">
        <w:rPr>
          <w:sz w:val="24"/>
          <w:szCs w:val="24"/>
        </w:rPr>
        <w:t>facilitate</w:t>
      </w:r>
      <w:r w:rsidR="00483B3A">
        <w:rPr>
          <w:sz w:val="24"/>
          <w:szCs w:val="24"/>
        </w:rPr>
        <w:t xml:space="preserve"> the </w:t>
      </w:r>
      <w:r w:rsidR="001D2345" w:rsidRPr="00153EB5">
        <w:rPr>
          <w:sz w:val="24"/>
          <w:szCs w:val="24"/>
        </w:rPr>
        <w:t>transition</w:t>
      </w:r>
      <w:r w:rsidR="00483B3A">
        <w:rPr>
          <w:sz w:val="24"/>
          <w:szCs w:val="24"/>
        </w:rPr>
        <w:t>s</w:t>
      </w:r>
      <w:r w:rsidR="001D2345" w:rsidRPr="00153EB5">
        <w:rPr>
          <w:sz w:val="24"/>
          <w:szCs w:val="24"/>
        </w:rPr>
        <w:t xml:space="preserve"> between VET and the </w:t>
      </w:r>
      <w:r>
        <w:rPr>
          <w:sz w:val="24"/>
          <w:szCs w:val="24"/>
        </w:rPr>
        <w:t>(re)</w:t>
      </w:r>
      <w:r w:rsidR="00483B3A">
        <w:rPr>
          <w:sz w:val="24"/>
          <w:szCs w:val="24"/>
        </w:rPr>
        <w:t xml:space="preserve">integration </w:t>
      </w:r>
      <w:r>
        <w:rPr>
          <w:sz w:val="24"/>
          <w:szCs w:val="24"/>
        </w:rPr>
        <w:t xml:space="preserve">of youngsters </w:t>
      </w:r>
      <w:r w:rsidR="00483B3A">
        <w:rPr>
          <w:sz w:val="24"/>
          <w:szCs w:val="24"/>
        </w:rPr>
        <w:t xml:space="preserve">on the </w:t>
      </w:r>
      <w:r w:rsidR="001D2345" w:rsidRPr="00153EB5">
        <w:rPr>
          <w:sz w:val="24"/>
          <w:szCs w:val="24"/>
        </w:rPr>
        <w:t xml:space="preserve">labour market. </w:t>
      </w:r>
      <w:r>
        <w:rPr>
          <w:sz w:val="24"/>
          <w:szCs w:val="24"/>
        </w:rPr>
        <w:t xml:space="preserve">How can society </w:t>
      </w:r>
      <w:r w:rsidR="00002BEA">
        <w:rPr>
          <w:sz w:val="24"/>
          <w:szCs w:val="24"/>
        </w:rPr>
        <w:t xml:space="preserve">and the  education and training systems </w:t>
      </w:r>
      <w:r>
        <w:rPr>
          <w:sz w:val="24"/>
          <w:szCs w:val="24"/>
        </w:rPr>
        <w:t xml:space="preserve">organize broader and better established bridges between both worlds </w:t>
      </w:r>
      <w:r w:rsidR="003332F7">
        <w:rPr>
          <w:sz w:val="24"/>
          <w:szCs w:val="24"/>
        </w:rPr>
        <w:t xml:space="preserve">and this in two directions </w:t>
      </w:r>
      <w:r>
        <w:rPr>
          <w:sz w:val="24"/>
          <w:szCs w:val="24"/>
        </w:rPr>
        <w:t xml:space="preserve">? </w:t>
      </w:r>
    </w:p>
    <w:p w14:paraId="06F37DED" w14:textId="22FDE59D" w:rsidR="00AB7859" w:rsidRDefault="003332F7" w:rsidP="009A4E1D">
      <w:pPr>
        <w:jc w:val="both"/>
        <w:rPr>
          <w:sz w:val="24"/>
          <w:szCs w:val="24"/>
          <w:lang w:val="en-US"/>
        </w:rPr>
      </w:pPr>
      <w:r w:rsidRPr="00153EB5">
        <w:rPr>
          <w:sz w:val="24"/>
          <w:szCs w:val="24"/>
        </w:rPr>
        <w:t xml:space="preserve">More specifically, this conference will consider </w:t>
      </w:r>
      <w:r w:rsidRPr="00153EB5">
        <w:rPr>
          <w:sz w:val="24"/>
          <w:szCs w:val="24"/>
          <w:lang w:val="en-US"/>
        </w:rPr>
        <w:t xml:space="preserve">alternative training pathways in the transition between learning and working, in partnership between education and employment. The focus will be on apprenticeships and work based learning in a broad sense. </w:t>
      </w:r>
      <w:r w:rsidR="00AB7859">
        <w:rPr>
          <w:sz w:val="24"/>
          <w:szCs w:val="24"/>
          <w:lang w:val="en-US"/>
        </w:rPr>
        <w:t xml:space="preserve">  </w:t>
      </w:r>
    </w:p>
    <w:p w14:paraId="7A55F2C9" w14:textId="3FE6E7DB" w:rsidR="00591E1E" w:rsidRPr="009A4E1D" w:rsidRDefault="00591E1E" w:rsidP="009A4E1D">
      <w:pPr>
        <w:jc w:val="both"/>
        <w:rPr>
          <w:sz w:val="24"/>
          <w:szCs w:val="24"/>
        </w:rPr>
      </w:pPr>
      <w:r w:rsidRPr="009A4E1D">
        <w:rPr>
          <w:sz w:val="24"/>
          <w:szCs w:val="24"/>
        </w:rPr>
        <w:t>We would also like to offer a ‘panorama’ of program</w:t>
      </w:r>
      <w:r w:rsidR="009A4E1D" w:rsidRPr="009A4E1D">
        <w:rPr>
          <w:sz w:val="24"/>
          <w:szCs w:val="24"/>
        </w:rPr>
        <w:t>me</w:t>
      </w:r>
      <w:r w:rsidRPr="009A4E1D">
        <w:rPr>
          <w:sz w:val="24"/>
          <w:szCs w:val="24"/>
        </w:rPr>
        <w:t>s that try to ease the transition. We found inspiration in an interesting inventory published by CEDEFOP. Those p</w:t>
      </w:r>
      <w:r w:rsidR="009A4E1D" w:rsidRPr="009A4E1D">
        <w:rPr>
          <w:sz w:val="24"/>
          <w:szCs w:val="24"/>
        </w:rPr>
        <w:t>rogram</w:t>
      </w:r>
      <w:r w:rsidR="006E5648">
        <w:rPr>
          <w:sz w:val="24"/>
          <w:szCs w:val="24"/>
        </w:rPr>
        <w:t>me</w:t>
      </w:r>
      <w:r w:rsidR="009A4E1D" w:rsidRPr="009A4E1D">
        <w:rPr>
          <w:sz w:val="24"/>
          <w:szCs w:val="24"/>
        </w:rPr>
        <w:t>s exist in different Eunec</w:t>
      </w:r>
      <w:r w:rsidRPr="009A4E1D">
        <w:rPr>
          <w:sz w:val="24"/>
          <w:szCs w:val="24"/>
        </w:rPr>
        <w:t xml:space="preserve"> member countries (Ireland, Lithuania, Cyprus, Belgium</w:t>
      </w:r>
      <w:r w:rsidR="009A4E1D" w:rsidRPr="009A4E1D">
        <w:rPr>
          <w:sz w:val="24"/>
          <w:szCs w:val="24"/>
        </w:rPr>
        <w:t xml:space="preserve"> (French Community), ..).  Eunec</w:t>
      </w:r>
      <w:r w:rsidRPr="009A4E1D">
        <w:rPr>
          <w:sz w:val="24"/>
          <w:szCs w:val="24"/>
        </w:rPr>
        <w:t xml:space="preserve"> invited its members to make an active contribution to this conference and to give a presentation of their program</w:t>
      </w:r>
      <w:r w:rsidR="009A4E1D" w:rsidRPr="009A4E1D">
        <w:rPr>
          <w:sz w:val="24"/>
          <w:szCs w:val="24"/>
        </w:rPr>
        <w:t>me</w:t>
      </w:r>
      <w:r w:rsidRPr="009A4E1D">
        <w:rPr>
          <w:sz w:val="24"/>
          <w:szCs w:val="24"/>
        </w:rPr>
        <w:t xml:space="preserve">, which will then be discussed in smaller interactive working groups. </w:t>
      </w:r>
    </w:p>
    <w:p w14:paraId="534E90BE" w14:textId="46328E71" w:rsidR="00AB7859" w:rsidRDefault="00AB7859" w:rsidP="009A4E1D">
      <w:pPr>
        <w:jc w:val="both"/>
        <w:rPr>
          <w:sz w:val="24"/>
          <w:szCs w:val="24"/>
          <w:lang w:val="en-US"/>
        </w:rPr>
      </w:pPr>
      <w:r>
        <w:rPr>
          <w:sz w:val="24"/>
          <w:szCs w:val="24"/>
          <w:lang w:val="en-US"/>
        </w:rPr>
        <w:t xml:space="preserve">The conference will explore this central question from different angles and perspectives.  </w:t>
      </w:r>
    </w:p>
    <w:p w14:paraId="55A2668A" w14:textId="7AD611E9" w:rsidR="005445AE" w:rsidRDefault="003376F3" w:rsidP="009A4E1D">
      <w:pPr>
        <w:jc w:val="both"/>
        <w:rPr>
          <w:sz w:val="24"/>
          <w:szCs w:val="24"/>
          <w:lang w:val="en-US"/>
        </w:rPr>
      </w:pPr>
      <w:r w:rsidRPr="005445AE">
        <w:rPr>
          <w:b/>
          <w:sz w:val="24"/>
          <w:szCs w:val="24"/>
          <w:lang w:val="en-US"/>
        </w:rPr>
        <w:lastRenderedPageBreak/>
        <w:t xml:space="preserve">The first perspective </w:t>
      </w:r>
      <w:r>
        <w:rPr>
          <w:sz w:val="24"/>
          <w:szCs w:val="24"/>
          <w:lang w:val="en-US"/>
        </w:rPr>
        <w:t xml:space="preserve">is the one of the </w:t>
      </w:r>
      <w:r w:rsidRPr="005445AE">
        <w:rPr>
          <w:b/>
          <w:sz w:val="24"/>
          <w:szCs w:val="24"/>
          <w:lang w:val="en-US"/>
        </w:rPr>
        <w:t>skills needed beyond th</w:t>
      </w:r>
      <w:r w:rsidR="005445AE" w:rsidRPr="005445AE">
        <w:rPr>
          <w:b/>
          <w:sz w:val="24"/>
          <w:szCs w:val="24"/>
          <w:lang w:val="en-US"/>
        </w:rPr>
        <w:t>e school</w:t>
      </w:r>
      <w:r w:rsidR="005445AE">
        <w:rPr>
          <w:sz w:val="24"/>
          <w:szCs w:val="24"/>
          <w:lang w:val="en-US"/>
        </w:rPr>
        <w:t xml:space="preserve"> and the competences required in a </w:t>
      </w:r>
      <w:r w:rsidR="009A4E1D">
        <w:rPr>
          <w:sz w:val="24"/>
          <w:szCs w:val="24"/>
          <w:lang w:val="en-US"/>
        </w:rPr>
        <w:t>quick</w:t>
      </w:r>
      <w:r w:rsidR="005445AE">
        <w:rPr>
          <w:sz w:val="24"/>
          <w:szCs w:val="24"/>
          <w:lang w:val="en-US"/>
        </w:rPr>
        <w:t>ly evolving and highly c</w:t>
      </w:r>
      <w:r w:rsidR="009A4E1D">
        <w:rPr>
          <w:sz w:val="24"/>
          <w:szCs w:val="24"/>
          <w:lang w:val="en-US"/>
        </w:rPr>
        <w:t>ompetitive labo</w:t>
      </w:r>
      <w:r w:rsidR="006E5648">
        <w:rPr>
          <w:sz w:val="24"/>
          <w:szCs w:val="24"/>
          <w:lang w:val="en-US"/>
        </w:rPr>
        <w:t>u</w:t>
      </w:r>
      <w:r w:rsidR="009A4E1D">
        <w:rPr>
          <w:sz w:val="24"/>
          <w:szCs w:val="24"/>
          <w:lang w:val="en-US"/>
        </w:rPr>
        <w:t>r market,</w:t>
      </w:r>
      <w:r w:rsidR="005445AE">
        <w:rPr>
          <w:sz w:val="24"/>
          <w:szCs w:val="24"/>
          <w:lang w:val="en-US"/>
        </w:rPr>
        <w:t xml:space="preserve"> in a perspective of a sustainable development in professional and personal life and as citizen.  This includes reflection on </w:t>
      </w:r>
      <w:r w:rsidR="005445AE" w:rsidRPr="005445AE">
        <w:rPr>
          <w:sz w:val="24"/>
          <w:szCs w:val="24"/>
          <w:lang w:val="en-US"/>
        </w:rPr>
        <w:t>labo</w:t>
      </w:r>
      <w:r w:rsidR="006E5648">
        <w:rPr>
          <w:sz w:val="24"/>
          <w:szCs w:val="24"/>
          <w:lang w:val="en-US"/>
        </w:rPr>
        <w:t>u</w:t>
      </w:r>
      <w:r w:rsidR="005445AE" w:rsidRPr="005445AE">
        <w:rPr>
          <w:sz w:val="24"/>
          <w:szCs w:val="24"/>
          <w:lang w:val="en-US"/>
        </w:rPr>
        <w:t>r market need</w:t>
      </w:r>
      <w:r w:rsidR="005445AE">
        <w:rPr>
          <w:sz w:val="24"/>
          <w:szCs w:val="24"/>
          <w:lang w:val="en-US"/>
        </w:rPr>
        <w:t>ed competences</w:t>
      </w:r>
      <w:r w:rsidR="005445AE" w:rsidRPr="005445AE">
        <w:rPr>
          <w:sz w:val="24"/>
          <w:szCs w:val="24"/>
          <w:lang w:val="en-US"/>
        </w:rPr>
        <w:t xml:space="preserve">, </w:t>
      </w:r>
      <w:r w:rsidR="005445AE">
        <w:rPr>
          <w:sz w:val="24"/>
          <w:szCs w:val="24"/>
          <w:lang w:val="en-US"/>
        </w:rPr>
        <w:t xml:space="preserve">lifelong participation and </w:t>
      </w:r>
      <w:r w:rsidR="005445AE" w:rsidRPr="005445AE">
        <w:rPr>
          <w:sz w:val="24"/>
          <w:szCs w:val="24"/>
          <w:lang w:val="en-US"/>
        </w:rPr>
        <w:t xml:space="preserve">inclusion,  career </w:t>
      </w:r>
      <w:r w:rsidR="005445AE">
        <w:rPr>
          <w:sz w:val="24"/>
          <w:szCs w:val="24"/>
          <w:lang w:val="en-US"/>
        </w:rPr>
        <w:t>management.</w:t>
      </w:r>
      <w:r w:rsidR="00002BEA">
        <w:rPr>
          <w:sz w:val="24"/>
          <w:szCs w:val="24"/>
          <w:lang w:val="en-US"/>
        </w:rPr>
        <w:t xml:space="preserve">  </w:t>
      </w:r>
    </w:p>
    <w:p w14:paraId="6BA19614" w14:textId="75B69FC0" w:rsidR="00002BEA" w:rsidRDefault="005445AE" w:rsidP="009A4E1D">
      <w:pPr>
        <w:jc w:val="both"/>
        <w:rPr>
          <w:sz w:val="24"/>
          <w:szCs w:val="24"/>
          <w:lang w:val="en-US"/>
        </w:rPr>
      </w:pPr>
      <w:r>
        <w:rPr>
          <w:sz w:val="24"/>
          <w:szCs w:val="24"/>
          <w:lang w:val="en-US"/>
        </w:rPr>
        <w:t xml:space="preserve">A </w:t>
      </w:r>
      <w:r w:rsidRPr="00002BEA">
        <w:rPr>
          <w:b/>
          <w:sz w:val="24"/>
          <w:szCs w:val="24"/>
          <w:lang w:val="en-US"/>
        </w:rPr>
        <w:t>second perspective</w:t>
      </w:r>
      <w:r>
        <w:rPr>
          <w:sz w:val="24"/>
          <w:szCs w:val="24"/>
          <w:lang w:val="en-US"/>
        </w:rPr>
        <w:t xml:space="preserve"> is </w:t>
      </w:r>
      <w:r w:rsidR="00002BEA">
        <w:rPr>
          <w:sz w:val="24"/>
          <w:szCs w:val="24"/>
          <w:lang w:val="en-US"/>
        </w:rPr>
        <w:t xml:space="preserve">on </w:t>
      </w:r>
      <w:r w:rsidR="00002BEA" w:rsidRPr="00002BEA">
        <w:rPr>
          <w:b/>
          <w:sz w:val="24"/>
          <w:szCs w:val="24"/>
          <w:lang w:val="en-US"/>
        </w:rPr>
        <w:t>transitions</w:t>
      </w:r>
      <w:r w:rsidR="00002BEA">
        <w:rPr>
          <w:sz w:val="24"/>
          <w:szCs w:val="24"/>
          <w:lang w:val="en-US"/>
        </w:rPr>
        <w:t xml:space="preserve"> from both </w:t>
      </w:r>
      <w:r w:rsidR="00002BEA" w:rsidRPr="00002BEA">
        <w:rPr>
          <w:b/>
          <w:sz w:val="24"/>
          <w:szCs w:val="24"/>
          <w:lang w:val="en-US"/>
        </w:rPr>
        <w:t>professional education at secondary level and higher education</w:t>
      </w:r>
      <w:r w:rsidR="00002BEA">
        <w:rPr>
          <w:sz w:val="24"/>
          <w:szCs w:val="24"/>
          <w:lang w:val="en-US"/>
        </w:rPr>
        <w:t xml:space="preserve"> to the workplaces.</w:t>
      </w:r>
    </w:p>
    <w:p w14:paraId="7FD919D8" w14:textId="07CAB8C7" w:rsidR="00591E1E" w:rsidRPr="009A4E1D" w:rsidRDefault="006E5648" w:rsidP="009A4E1D">
      <w:pPr>
        <w:pStyle w:val="Standaardopsomming1"/>
        <w:spacing w:line="276" w:lineRule="auto"/>
        <w:ind w:left="567" w:hanging="567"/>
        <w:jc w:val="both"/>
      </w:pPr>
      <w:r>
        <w:t>A way of</w:t>
      </w:r>
      <w:r w:rsidR="00591E1E" w:rsidRPr="009A4E1D">
        <w:t xml:space="preserve"> bridging the gap between labour market and the world of education and training is to give pupils a real labour market experience, on the work flour, in or outside the school, during</w:t>
      </w:r>
      <w:r w:rsidR="00A30B46">
        <w:t xml:space="preserve"> the training pathway or afterwa</w:t>
      </w:r>
      <w:r w:rsidR="00591E1E" w:rsidRPr="009A4E1D">
        <w:t xml:space="preserve">rds. </w:t>
      </w:r>
      <w:r>
        <w:t>The European</w:t>
      </w:r>
      <w:r w:rsidR="00A30B46">
        <w:t xml:space="preserve"> C</w:t>
      </w:r>
      <w:r w:rsidR="00591E1E" w:rsidRPr="009A4E1D">
        <w:t>ommission is promoting both  apprenticeship an</w:t>
      </w:r>
      <w:r>
        <w:t>d</w:t>
      </w:r>
      <w:r w:rsidR="00591E1E" w:rsidRPr="009A4E1D">
        <w:t xml:space="preserve"> work based learning. Both concepts are rather confuse and can be organized under different shapes.  These concepts offer space for debate</w:t>
      </w:r>
      <w:r w:rsidR="00A30B46" w:rsidRPr="00A30B46">
        <w:t xml:space="preserve"> </w:t>
      </w:r>
      <w:r w:rsidR="00A30B46">
        <w:t xml:space="preserve">to </w:t>
      </w:r>
      <w:r w:rsidR="00A30B46" w:rsidRPr="009A4E1D">
        <w:t>Eunec members</w:t>
      </w:r>
      <w:r w:rsidR="00591E1E" w:rsidRPr="009A4E1D">
        <w:t>.  A specific feature of learning in the workplace is the German dual learning. Dual learning is being strongly promoted in recent documents b</w:t>
      </w:r>
      <w:r w:rsidR="00A30B46">
        <w:t>y the European Commission. Eunec</w:t>
      </w:r>
      <w:r w:rsidR="00591E1E" w:rsidRPr="009A4E1D">
        <w:t xml:space="preserve"> invited the </w:t>
      </w:r>
      <w:r w:rsidR="00591E1E" w:rsidRPr="00153EB5">
        <w:t>Bertelsmann Stiftung</w:t>
      </w:r>
      <w:r w:rsidR="00591E1E" w:rsidRPr="009A4E1D">
        <w:t xml:space="preserve"> from Germany to present the materials that they have developed. </w:t>
      </w:r>
    </w:p>
    <w:p w14:paraId="6A9CF107" w14:textId="7A1CF62E" w:rsidR="00002BEA" w:rsidRPr="009A4E1D" w:rsidRDefault="00055186" w:rsidP="009A4E1D">
      <w:pPr>
        <w:pStyle w:val="Standaardopsomming1"/>
        <w:spacing w:line="276" w:lineRule="auto"/>
        <w:ind w:left="567" w:hanging="567"/>
        <w:jc w:val="both"/>
      </w:pPr>
      <w:r w:rsidRPr="009A4E1D">
        <w:t xml:space="preserve">The focus will also </w:t>
      </w:r>
      <w:r w:rsidR="00591E1E" w:rsidRPr="009A4E1D">
        <w:t xml:space="preserve">be on </w:t>
      </w:r>
      <w:r w:rsidRPr="009A4E1D">
        <w:t xml:space="preserve">short cycle professional higher education (SCHE). </w:t>
      </w:r>
      <w:r w:rsidR="00002BEA" w:rsidRPr="009A4E1D">
        <w:t xml:space="preserve">Short cycle higher education is an </w:t>
      </w:r>
      <w:r w:rsidRPr="009A4E1D">
        <w:t xml:space="preserve">new trajectory for learners aiming at a professional qualification at </w:t>
      </w:r>
      <w:r w:rsidR="00A30B46">
        <w:t xml:space="preserve">an </w:t>
      </w:r>
      <w:r w:rsidRPr="009A4E1D">
        <w:t>‘intermediate’ level between level 4 and 5 of the Europea</w:t>
      </w:r>
      <w:r w:rsidR="00A30B46">
        <w:t>n qualification structure. Labou</w:t>
      </w:r>
      <w:r w:rsidRPr="009A4E1D">
        <w:t>r ma</w:t>
      </w:r>
      <w:r w:rsidR="00A30B46">
        <w:t>rket is in</w:t>
      </w:r>
      <w:r w:rsidRPr="009A4E1D">
        <w:t xml:space="preserve"> need for this medium qualified skilled workers in specialized sectors of the economy (e.g. technicia</w:t>
      </w:r>
      <w:r w:rsidR="00A30B46">
        <w:t>ns, health care workers). This ‘new’</w:t>
      </w:r>
      <w:r w:rsidRPr="009A4E1D">
        <w:t xml:space="preserve"> education level allows to train pupils for the labour market without aiming a bachelor or a master in higher education, whilst the transition to higher education remains possible. S</w:t>
      </w:r>
      <w:r w:rsidR="00002BEA" w:rsidRPr="009A4E1D">
        <w:t>everal European countries</w:t>
      </w:r>
      <w:r w:rsidRPr="009A4E1D">
        <w:t xml:space="preserve"> are building such learning pathways </w:t>
      </w:r>
      <w:r w:rsidR="00002BEA" w:rsidRPr="009A4E1D">
        <w:t>under different shapes</w:t>
      </w:r>
      <w:r w:rsidRPr="009A4E1D">
        <w:t xml:space="preserve">.  </w:t>
      </w:r>
    </w:p>
    <w:p w14:paraId="3F557B38" w14:textId="77777777" w:rsidR="00A733B5" w:rsidRPr="00153EB5" w:rsidRDefault="00A733B5" w:rsidP="00153EB5">
      <w:pPr>
        <w:pStyle w:val="Kop1"/>
      </w:pPr>
      <w:r w:rsidRPr="00153EB5">
        <w:t>Background documents</w:t>
      </w:r>
    </w:p>
    <w:p w14:paraId="3F557B39" w14:textId="77777777" w:rsidR="00A733B5" w:rsidRPr="00A733B5" w:rsidRDefault="00A733B5" w:rsidP="00153EB5">
      <w:pPr>
        <w:pStyle w:val="Kop2"/>
        <w:rPr>
          <w:lang w:val="en-US"/>
        </w:rPr>
      </w:pPr>
      <w:r w:rsidRPr="00A733B5">
        <w:rPr>
          <w:lang w:val="en-US"/>
        </w:rPr>
        <w:t xml:space="preserve">EUNEC </w:t>
      </w:r>
      <w:hyperlink r:id="rId15" w:history="1">
        <w:r w:rsidRPr="00BE2299">
          <w:rPr>
            <w:rStyle w:val="Hyperlink"/>
            <w:lang w:val="en-US"/>
          </w:rPr>
          <w:t>conference on ‘New skills for new jobs’,</w:t>
        </w:r>
      </w:hyperlink>
      <w:r w:rsidRPr="00A733B5">
        <w:rPr>
          <w:lang w:val="en-US"/>
        </w:rPr>
        <w:t xml:space="preserve"> Lisbon, October 201</w:t>
      </w:r>
      <w:r w:rsidR="00153EB5">
        <w:rPr>
          <w:lang w:val="en-US"/>
        </w:rPr>
        <w:t>1</w:t>
      </w:r>
    </w:p>
    <w:p w14:paraId="3F557B3A" w14:textId="77777777" w:rsidR="00153EB5" w:rsidRPr="00153EB5" w:rsidRDefault="00A733B5" w:rsidP="00153EB5">
      <w:pPr>
        <w:pStyle w:val="Kop2"/>
        <w:rPr>
          <w:lang w:val="en-US"/>
        </w:rPr>
      </w:pPr>
      <w:r w:rsidRPr="00A733B5">
        <w:rPr>
          <w:lang w:val="en-US"/>
        </w:rPr>
        <w:t xml:space="preserve">The </w:t>
      </w:r>
      <w:hyperlink r:id="rId16" w:history="1">
        <w:r w:rsidRPr="00BE2299">
          <w:rPr>
            <w:rStyle w:val="Hyperlink"/>
            <w:lang w:val="en-US"/>
          </w:rPr>
          <w:t>European Commission initiative ‘New skills for new jobs’</w:t>
        </w:r>
      </w:hyperlink>
    </w:p>
    <w:p w14:paraId="3F557B3B" w14:textId="77777777" w:rsidR="00153EB5" w:rsidRDefault="007E1C7D" w:rsidP="00153EB5">
      <w:pPr>
        <w:pStyle w:val="Kop2"/>
        <w:rPr>
          <w:lang w:val="en-US"/>
        </w:rPr>
      </w:pPr>
      <w:hyperlink r:id="rId17" w:history="1">
        <w:r w:rsidR="00A733B5" w:rsidRPr="00BE2299">
          <w:rPr>
            <w:rStyle w:val="Hyperlink"/>
            <w:lang w:val="en-US"/>
          </w:rPr>
          <w:t>Skills beyond School</w:t>
        </w:r>
      </w:hyperlink>
    </w:p>
    <w:p w14:paraId="3F557B3C" w14:textId="77777777" w:rsidR="00A733B5" w:rsidRPr="008C1427" w:rsidRDefault="00153EB5" w:rsidP="009A4E1D">
      <w:pPr>
        <w:jc w:val="both"/>
        <w:rPr>
          <w:sz w:val="24"/>
          <w:szCs w:val="24"/>
          <w:lang w:val="en-US"/>
        </w:rPr>
      </w:pPr>
      <w:r w:rsidRPr="008C1427">
        <w:rPr>
          <w:sz w:val="24"/>
          <w:szCs w:val="24"/>
          <w:lang w:val="en-US"/>
        </w:rPr>
        <w:t xml:space="preserve"> T</w:t>
      </w:r>
      <w:r w:rsidR="00A733B5" w:rsidRPr="008C1427">
        <w:rPr>
          <w:sz w:val="24"/>
          <w:szCs w:val="24"/>
          <w:lang w:val="en-US"/>
        </w:rPr>
        <w:t xml:space="preserve">he new OECD policy review of postsecondary vocational education and training, </w:t>
      </w:r>
      <w:r w:rsidRPr="008C1427">
        <w:rPr>
          <w:sz w:val="24"/>
          <w:szCs w:val="24"/>
          <w:lang w:val="en-US"/>
        </w:rPr>
        <w:t>looks</w:t>
      </w:r>
      <w:r w:rsidR="00A733B5" w:rsidRPr="008C1427">
        <w:rPr>
          <w:sz w:val="24"/>
          <w:szCs w:val="24"/>
          <w:lang w:val="en-US"/>
        </w:rPr>
        <w:t xml:space="preserve"> at the preparation of younger people and adults for technical and professional jobs. Key policy challenges include responsiveness to labour market needs, alongside inclusion, access, career guidance, finance, governance, teaching quality, integration with workplace learning, articulation with other sectors of education, and qualifications and assessment. It </w:t>
      </w:r>
      <w:r w:rsidRPr="008C1427">
        <w:rPr>
          <w:sz w:val="24"/>
          <w:szCs w:val="24"/>
          <w:lang w:val="en-US"/>
        </w:rPr>
        <w:t>builds</w:t>
      </w:r>
      <w:r w:rsidR="00A733B5" w:rsidRPr="008C1427">
        <w:rPr>
          <w:sz w:val="24"/>
          <w:szCs w:val="24"/>
          <w:lang w:val="en-US"/>
        </w:rPr>
        <w:t xml:space="preserve"> on the success of Learning for Jobs – which examined vocational education and training policy through 17 country reviews and a comparative report - and forms part of the horizontal </w:t>
      </w:r>
      <w:r w:rsidR="00A733B5" w:rsidRPr="008C1427">
        <w:rPr>
          <w:sz w:val="24"/>
          <w:szCs w:val="24"/>
          <w:lang w:val="en-US"/>
        </w:rPr>
        <w:lastRenderedPageBreak/>
        <w:t xml:space="preserve">OECD Skills Strategy linked to PIAAC and other initiatives across the OECD. It also draws on the OECD review of tertiary education. </w:t>
      </w:r>
    </w:p>
    <w:p w14:paraId="3F557B3D" w14:textId="77777777" w:rsidR="00153EB5" w:rsidRDefault="007E1C7D" w:rsidP="00153EB5">
      <w:pPr>
        <w:pStyle w:val="Kop2"/>
        <w:rPr>
          <w:lang w:val="en-US"/>
        </w:rPr>
      </w:pPr>
      <w:hyperlink r:id="rId18" w:history="1">
        <w:r w:rsidR="00A733B5" w:rsidRPr="00BE2299">
          <w:rPr>
            <w:rStyle w:val="Hyperlink"/>
            <w:lang w:val="en-US"/>
          </w:rPr>
          <w:t>EU Skills Panorama (2014) Appren</w:t>
        </w:r>
        <w:r w:rsidR="00BE2299" w:rsidRPr="00BE2299">
          <w:rPr>
            <w:rStyle w:val="Hyperlink"/>
            <w:lang w:val="en-US"/>
          </w:rPr>
          <w:t>ticeships Analytical Highlight</w:t>
        </w:r>
      </w:hyperlink>
    </w:p>
    <w:p w14:paraId="3F557B3E" w14:textId="27CBBE50" w:rsidR="005542C7" w:rsidRPr="008C1427" w:rsidRDefault="00153EB5" w:rsidP="00CD09FC">
      <w:pPr>
        <w:rPr>
          <w:sz w:val="24"/>
          <w:szCs w:val="24"/>
          <w:lang w:val="en-US"/>
        </w:rPr>
      </w:pPr>
      <w:r w:rsidRPr="008C1427">
        <w:rPr>
          <w:sz w:val="24"/>
          <w:szCs w:val="24"/>
          <w:lang w:val="en-US"/>
        </w:rPr>
        <w:t>This paper is prepared by ICF GHK and CEDEFOP</w:t>
      </w:r>
      <w:r w:rsidR="00A733B5" w:rsidRPr="008C1427">
        <w:rPr>
          <w:sz w:val="24"/>
          <w:szCs w:val="24"/>
          <w:lang w:val="en-US"/>
        </w:rPr>
        <w:t xml:space="preserve"> for the European Commission.  The paper describes policy</w:t>
      </w:r>
      <w:r w:rsidR="006E5648">
        <w:rPr>
          <w:sz w:val="24"/>
          <w:szCs w:val="24"/>
          <w:lang w:val="en-US"/>
        </w:rPr>
        <w:t xml:space="preserve"> developments at national level,</w:t>
      </w:r>
      <w:r w:rsidRPr="008C1427">
        <w:rPr>
          <w:sz w:val="24"/>
          <w:szCs w:val="24"/>
          <w:lang w:val="en-US"/>
        </w:rPr>
        <w:t xml:space="preserve"> </w:t>
      </w:r>
      <w:r w:rsidR="00A733B5" w:rsidRPr="008C1427">
        <w:rPr>
          <w:sz w:val="24"/>
          <w:szCs w:val="24"/>
          <w:lang w:val="en-US"/>
        </w:rPr>
        <w:t>provides a checklist of key success factors for apprenticeships and insists on the benefits.</w:t>
      </w:r>
    </w:p>
    <w:p w14:paraId="3F557B3F" w14:textId="36831D6B" w:rsidR="000026B1" w:rsidRDefault="007175E3" w:rsidP="000026B1">
      <w:pPr>
        <w:pStyle w:val="Kop1"/>
      </w:pPr>
      <w:r>
        <w:t xml:space="preserve">Programme </w:t>
      </w:r>
    </w:p>
    <w:p w14:paraId="3F557B40" w14:textId="77777777" w:rsidR="00A733B5" w:rsidRDefault="00A733B5" w:rsidP="00A733B5">
      <w:pPr>
        <w:rPr>
          <w:b/>
          <w:sz w:val="24"/>
          <w:szCs w:val="24"/>
        </w:rPr>
      </w:pPr>
      <w:r w:rsidRPr="00153EB5">
        <w:rPr>
          <w:b/>
          <w:sz w:val="24"/>
          <w:szCs w:val="24"/>
        </w:rPr>
        <w:t>Monday 20 October</w:t>
      </w:r>
    </w:p>
    <w:p w14:paraId="276855FB" w14:textId="0ADF42F3" w:rsidR="007175E3" w:rsidRPr="00623C8C" w:rsidRDefault="00623C8C" w:rsidP="00A733B5">
      <w:pPr>
        <w:rPr>
          <w:b/>
          <w:i/>
          <w:sz w:val="24"/>
          <w:szCs w:val="24"/>
        </w:rPr>
      </w:pPr>
      <w:r w:rsidRPr="00623C8C">
        <w:rPr>
          <w:b/>
          <w:i/>
          <w:sz w:val="24"/>
          <w:szCs w:val="24"/>
        </w:rPr>
        <w:t>Chair of the day: Adrie van der Rest, EUNEC president</w:t>
      </w:r>
    </w:p>
    <w:p w14:paraId="3F557B41" w14:textId="550A4E66" w:rsidR="00A733B5" w:rsidRPr="00623C8C" w:rsidRDefault="00A733B5" w:rsidP="00153EB5">
      <w:pPr>
        <w:ind w:left="2124" w:hanging="2124"/>
        <w:rPr>
          <w:sz w:val="24"/>
          <w:szCs w:val="24"/>
          <w:lang w:val="en-US"/>
        </w:rPr>
      </w:pPr>
      <w:r w:rsidRPr="00623C8C">
        <w:rPr>
          <w:sz w:val="24"/>
          <w:szCs w:val="24"/>
          <w:lang w:val="en-US"/>
        </w:rPr>
        <w:t xml:space="preserve">09.00 h – 09.30 h </w:t>
      </w:r>
      <w:r w:rsidRPr="00623C8C">
        <w:rPr>
          <w:sz w:val="24"/>
          <w:szCs w:val="24"/>
          <w:lang w:val="en-US"/>
        </w:rPr>
        <w:tab/>
        <w:t>Welcome by EUNEC presid</w:t>
      </w:r>
      <w:r w:rsidR="00E253B3">
        <w:rPr>
          <w:sz w:val="24"/>
          <w:szCs w:val="24"/>
          <w:lang w:val="en-US"/>
        </w:rPr>
        <w:t>ent, Adrie van der Rest, and by</w:t>
      </w:r>
      <w:r w:rsidR="00E253B3" w:rsidRPr="00E253B3">
        <w:rPr>
          <w:sz w:val="24"/>
          <w:szCs w:val="24"/>
          <w:lang w:val="en-US"/>
        </w:rPr>
        <w:t xml:space="preserve"> Jindřich Fryč, Director General, Section for Policy Coordination and International Affairs, Ministry</w:t>
      </w:r>
      <w:r w:rsidR="00E253B3">
        <w:rPr>
          <w:sz w:val="24"/>
          <w:szCs w:val="24"/>
          <w:lang w:val="en-US"/>
        </w:rPr>
        <w:t xml:space="preserve"> of Education, Youth and Sports</w:t>
      </w:r>
    </w:p>
    <w:p w14:paraId="3F557B42" w14:textId="273A302B" w:rsidR="00A733B5" w:rsidRPr="00153EB5" w:rsidRDefault="00A733B5" w:rsidP="00153EB5">
      <w:pPr>
        <w:ind w:left="2124" w:hanging="2124"/>
        <w:rPr>
          <w:sz w:val="24"/>
          <w:szCs w:val="24"/>
        </w:rPr>
      </w:pPr>
      <w:r w:rsidRPr="00153EB5">
        <w:rPr>
          <w:sz w:val="24"/>
          <w:szCs w:val="24"/>
        </w:rPr>
        <w:t>09.30 h – 10.30 h</w:t>
      </w:r>
      <w:r w:rsidRPr="00153EB5">
        <w:rPr>
          <w:sz w:val="24"/>
          <w:szCs w:val="24"/>
        </w:rPr>
        <w:tab/>
      </w:r>
      <w:r w:rsidR="00887B56">
        <w:rPr>
          <w:sz w:val="24"/>
          <w:szCs w:val="24"/>
        </w:rPr>
        <w:t>‘</w:t>
      </w:r>
      <w:r w:rsidR="00887B56" w:rsidRPr="00887B56">
        <w:rPr>
          <w:sz w:val="24"/>
          <w:szCs w:val="24"/>
        </w:rPr>
        <w:t>From education to working life: learning for employability</w:t>
      </w:r>
      <w:r w:rsidR="00887B56">
        <w:rPr>
          <w:sz w:val="24"/>
          <w:szCs w:val="24"/>
        </w:rPr>
        <w:t>’, k</w:t>
      </w:r>
      <w:r w:rsidRPr="00153EB5">
        <w:rPr>
          <w:sz w:val="24"/>
          <w:szCs w:val="24"/>
        </w:rPr>
        <w:t xml:space="preserve">ey note by </w:t>
      </w:r>
      <w:r w:rsidR="004B1E0A">
        <w:rPr>
          <w:sz w:val="24"/>
          <w:szCs w:val="24"/>
        </w:rPr>
        <w:t xml:space="preserve">Lore Schmid, </w:t>
      </w:r>
      <w:r w:rsidR="005B2C13">
        <w:rPr>
          <w:sz w:val="24"/>
          <w:szCs w:val="24"/>
        </w:rPr>
        <w:t>senior expert</w:t>
      </w:r>
      <w:r w:rsidR="004B1E0A">
        <w:rPr>
          <w:sz w:val="24"/>
          <w:szCs w:val="24"/>
        </w:rPr>
        <w:t xml:space="preserve"> at</w:t>
      </w:r>
      <w:r w:rsidRPr="00153EB5">
        <w:rPr>
          <w:sz w:val="24"/>
          <w:szCs w:val="24"/>
        </w:rPr>
        <w:t xml:space="preserve"> CEDEFOP, with questions and answers</w:t>
      </w:r>
    </w:p>
    <w:p w14:paraId="3F557B43" w14:textId="77777777" w:rsidR="00A733B5" w:rsidRPr="00153EB5" w:rsidRDefault="00A733B5" w:rsidP="00A733B5">
      <w:pPr>
        <w:rPr>
          <w:sz w:val="24"/>
          <w:szCs w:val="24"/>
        </w:rPr>
      </w:pPr>
      <w:r w:rsidRPr="00153EB5">
        <w:rPr>
          <w:sz w:val="24"/>
          <w:szCs w:val="24"/>
        </w:rPr>
        <w:t xml:space="preserve">10.30 h – 11.00 h </w:t>
      </w:r>
      <w:r w:rsidRPr="00153EB5">
        <w:rPr>
          <w:sz w:val="24"/>
          <w:szCs w:val="24"/>
        </w:rPr>
        <w:tab/>
        <w:t>Coffee break</w:t>
      </w:r>
    </w:p>
    <w:p w14:paraId="3F557B44" w14:textId="575D7A33" w:rsidR="00A733B5" w:rsidRPr="00153EB5" w:rsidRDefault="00A733B5" w:rsidP="00A733B5">
      <w:pPr>
        <w:ind w:left="2124" w:hanging="2124"/>
        <w:rPr>
          <w:sz w:val="24"/>
          <w:szCs w:val="24"/>
        </w:rPr>
      </w:pPr>
      <w:r w:rsidRPr="00153EB5">
        <w:rPr>
          <w:sz w:val="24"/>
          <w:szCs w:val="24"/>
        </w:rPr>
        <w:t xml:space="preserve">11.00 h – 11.30 h </w:t>
      </w:r>
      <w:r w:rsidRPr="00153EB5">
        <w:rPr>
          <w:sz w:val="24"/>
          <w:szCs w:val="24"/>
        </w:rPr>
        <w:tab/>
      </w:r>
      <w:r w:rsidR="006D3D95" w:rsidRPr="006D3D95">
        <w:rPr>
          <w:sz w:val="24"/>
          <w:szCs w:val="24"/>
        </w:rPr>
        <w:t>Panorama of good practices: Czech Republic</w:t>
      </w:r>
      <w:r w:rsidR="006D3D95">
        <w:rPr>
          <w:sz w:val="24"/>
          <w:szCs w:val="24"/>
        </w:rPr>
        <w:t xml:space="preserve"> (1). ‘</w:t>
      </w:r>
      <w:r w:rsidR="006D3D95" w:rsidRPr="006D3D95">
        <w:rPr>
          <w:sz w:val="24"/>
          <w:szCs w:val="24"/>
        </w:rPr>
        <w:t>Educational sector and labour market co</w:t>
      </w:r>
      <w:r w:rsidR="006D3D95">
        <w:rPr>
          <w:sz w:val="24"/>
          <w:szCs w:val="24"/>
        </w:rPr>
        <w:t>operation in the Czech Republic’</w:t>
      </w:r>
      <w:r w:rsidR="006D3D95" w:rsidRPr="006D3D95">
        <w:rPr>
          <w:sz w:val="24"/>
          <w:szCs w:val="24"/>
        </w:rPr>
        <w:t xml:space="preserve"> by Petr Bannert and Pavel Hradecký, Ministry of Education</w:t>
      </w:r>
    </w:p>
    <w:p w14:paraId="3F557B45" w14:textId="5B25FFEF" w:rsidR="00A733B5" w:rsidRPr="000719BB" w:rsidRDefault="00A733B5" w:rsidP="00A733B5">
      <w:pPr>
        <w:ind w:left="2124" w:hanging="2124"/>
        <w:rPr>
          <w:sz w:val="24"/>
          <w:szCs w:val="24"/>
          <w:lang w:val="en-US"/>
        </w:rPr>
      </w:pPr>
      <w:r w:rsidRPr="00153EB5">
        <w:rPr>
          <w:sz w:val="24"/>
          <w:szCs w:val="24"/>
        </w:rPr>
        <w:t xml:space="preserve">11.30 h – 12.00 h </w:t>
      </w:r>
      <w:r w:rsidRPr="00153EB5">
        <w:rPr>
          <w:sz w:val="24"/>
          <w:szCs w:val="24"/>
        </w:rPr>
        <w:tab/>
        <w:t xml:space="preserve">Panorama of good practices: Czech Republic (2). </w:t>
      </w:r>
      <w:r w:rsidR="006D3D95" w:rsidRPr="000719BB">
        <w:rPr>
          <w:sz w:val="24"/>
          <w:szCs w:val="24"/>
          <w:lang w:val="en-US"/>
        </w:rPr>
        <w:t>Presentation by Miloš Ratho</w:t>
      </w:r>
      <w:r w:rsidR="000719BB">
        <w:rPr>
          <w:sz w:val="24"/>
          <w:szCs w:val="24"/>
          <w:lang w:val="en-US"/>
        </w:rPr>
        <w:t>uský, Confederation of Industry</w:t>
      </w:r>
    </w:p>
    <w:p w14:paraId="3F557B46" w14:textId="308E4677" w:rsidR="00A733B5" w:rsidRPr="00623C8C" w:rsidRDefault="00A733B5" w:rsidP="00A733B5">
      <w:pPr>
        <w:rPr>
          <w:sz w:val="24"/>
          <w:szCs w:val="24"/>
          <w:lang w:val="en-US"/>
        </w:rPr>
      </w:pPr>
      <w:r w:rsidRPr="00623C8C">
        <w:rPr>
          <w:sz w:val="24"/>
          <w:szCs w:val="24"/>
          <w:lang w:val="en-US"/>
        </w:rPr>
        <w:t>12.00 h – 13.00 h</w:t>
      </w:r>
      <w:r w:rsidRPr="00623C8C">
        <w:rPr>
          <w:sz w:val="24"/>
          <w:szCs w:val="24"/>
          <w:lang w:val="en-US"/>
        </w:rPr>
        <w:tab/>
        <w:t>Debate in parallel workshops</w:t>
      </w:r>
      <w:r w:rsidR="007175E3" w:rsidRPr="00623C8C">
        <w:rPr>
          <w:sz w:val="24"/>
          <w:szCs w:val="24"/>
          <w:lang w:val="en-US"/>
        </w:rPr>
        <w:t xml:space="preserve">  </w:t>
      </w:r>
    </w:p>
    <w:p w14:paraId="3F557B47" w14:textId="77777777" w:rsidR="00A733B5" w:rsidRPr="000719BB" w:rsidRDefault="00A733B5" w:rsidP="00A733B5">
      <w:pPr>
        <w:rPr>
          <w:sz w:val="24"/>
          <w:szCs w:val="24"/>
          <w:lang w:val="en-US"/>
        </w:rPr>
      </w:pPr>
      <w:r w:rsidRPr="000719BB">
        <w:rPr>
          <w:sz w:val="24"/>
          <w:szCs w:val="24"/>
          <w:lang w:val="en-US"/>
        </w:rPr>
        <w:t xml:space="preserve">13.00 h – 14.00 h </w:t>
      </w:r>
      <w:r w:rsidRPr="000719BB">
        <w:rPr>
          <w:sz w:val="24"/>
          <w:szCs w:val="24"/>
          <w:lang w:val="en-US"/>
        </w:rPr>
        <w:tab/>
        <w:t>Lunch</w:t>
      </w:r>
    </w:p>
    <w:p w14:paraId="3F557B48" w14:textId="699092EA" w:rsidR="00A733B5" w:rsidRPr="00153EB5" w:rsidRDefault="00A733B5" w:rsidP="00A733B5">
      <w:pPr>
        <w:rPr>
          <w:sz w:val="24"/>
          <w:szCs w:val="24"/>
        </w:rPr>
      </w:pPr>
      <w:r w:rsidRPr="00623C8C">
        <w:rPr>
          <w:sz w:val="24"/>
          <w:szCs w:val="24"/>
          <w:lang w:val="en-US"/>
        </w:rPr>
        <w:t>14.00 h  - 17.00 h</w:t>
      </w:r>
      <w:r w:rsidRPr="00623C8C">
        <w:rPr>
          <w:sz w:val="24"/>
          <w:szCs w:val="24"/>
          <w:lang w:val="en-US"/>
        </w:rPr>
        <w:tab/>
        <w:t>School visit</w:t>
      </w:r>
      <w:r w:rsidR="00D94C55" w:rsidRPr="00623C8C">
        <w:rPr>
          <w:sz w:val="24"/>
          <w:szCs w:val="24"/>
          <w:lang w:val="en-US"/>
        </w:rPr>
        <w:t>: p</w:t>
      </w:r>
      <w:r w:rsidR="00D94C55">
        <w:rPr>
          <w:sz w:val="24"/>
          <w:szCs w:val="24"/>
        </w:rPr>
        <w:t xml:space="preserve">resentation, visit  and laboratory workshop </w:t>
      </w:r>
    </w:p>
    <w:p w14:paraId="3F557B49" w14:textId="77777777" w:rsidR="00A733B5" w:rsidRPr="00153EB5" w:rsidRDefault="00153EB5" w:rsidP="00A733B5">
      <w:pPr>
        <w:rPr>
          <w:sz w:val="24"/>
          <w:szCs w:val="24"/>
        </w:rPr>
      </w:pPr>
      <w:r>
        <w:rPr>
          <w:sz w:val="24"/>
          <w:szCs w:val="24"/>
        </w:rPr>
        <w:t>17.00 h</w:t>
      </w:r>
      <w:r>
        <w:rPr>
          <w:sz w:val="24"/>
          <w:szCs w:val="24"/>
        </w:rPr>
        <w:tab/>
      </w:r>
      <w:r>
        <w:rPr>
          <w:sz w:val="24"/>
          <w:szCs w:val="24"/>
        </w:rPr>
        <w:tab/>
      </w:r>
      <w:r w:rsidR="00A733B5" w:rsidRPr="00153EB5">
        <w:rPr>
          <w:sz w:val="24"/>
          <w:szCs w:val="24"/>
        </w:rPr>
        <w:t>Free evening</w:t>
      </w:r>
    </w:p>
    <w:p w14:paraId="3F557B4A" w14:textId="77777777" w:rsidR="00A733B5" w:rsidRPr="00153EB5" w:rsidRDefault="00A733B5" w:rsidP="00A733B5">
      <w:pPr>
        <w:rPr>
          <w:sz w:val="24"/>
          <w:szCs w:val="24"/>
        </w:rPr>
      </w:pPr>
    </w:p>
    <w:p w14:paraId="3F557B4B" w14:textId="77777777" w:rsidR="00A733B5" w:rsidRDefault="00A733B5" w:rsidP="00A733B5">
      <w:pPr>
        <w:rPr>
          <w:b/>
          <w:sz w:val="24"/>
          <w:szCs w:val="24"/>
        </w:rPr>
      </w:pPr>
      <w:r w:rsidRPr="00153EB5">
        <w:rPr>
          <w:b/>
          <w:sz w:val="24"/>
          <w:szCs w:val="24"/>
        </w:rPr>
        <w:t>Tuesday 21 October</w:t>
      </w:r>
    </w:p>
    <w:p w14:paraId="70ECBBD7" w14:textId="5F503179" w:rsidR="00623C8C" w:rsidRPr="00623C8C" w:rsidRDefault="00623C8C" w:rsidP="00A733B5">
      <w:pPr>
        <w:rPr>
          <w:b/>
          <w:i/>
          <w:sz w:val="24"/>
          <w:szCs w:val="24"/>
        </w:rPr>
      </w:pPr>
      <w:r w:rsidRPr="00623C8C">
        <w:rPr>
          <w:b/>
          <w:i/>
          <w:sz w:val="24"/>
          <w:szCs w:val="24"/>
        </w:rPr>
        <w:t xml:space="preserve">Chair of the day: </w:t>
      </w:r>
      <w:r>
        <w:rPr>
          <w:b/>
          <w:i/>
          <w:sz w:val="24"/>
          <w:szCs w:val="24"/>
        </w:rPr>
        <w:t xml:space="preserve">Mia Douterlungne, EUNEC secretary general </w:t>
      </w:r>
    </w:p>
    <w:p w14:paraId="3F557B4C" w14:textId="6059B240" w:rsidR="00A733B5" w:rsidRPr="00153EB5" w:rsidRDefault="00A733B5" w:rsidP="00A733B5">
      <w:pPr>
        <w:ind w:left="2124" w:hanging="2124"/>
        <w:rPr>
          <w:sz w:val="24"/>
          <w:szCs w:val="24"/>
        </w:rPr>
      </w:pPr>
      <w:r w:rsidRPr="00153EB5">
        <w:rPr>
          <w:sz w:val="24"/>
          <w:szCs w:val="24"/>
        </w:rPr>
        <w:t>09.00 h – 10.00 h</w:t>
      </w:r>
      <w:r w:rsidRPr="00153EB5">
        <w:rPr>
          <w:sz w:val="24"/>
          <w:szCs w:val="24"/>
        </w:rPr>
        <w:tab/>
      </w:r>
      <w:r w:rsidR="007E1C7D">
        <w:rPr>
          <w:sz w:val="24"/>
          <w:szCs w:val="24"/>
        </w:rPr>
        <w:t>‘Vocational education and training: the OECD experience’, k</w:t>
      </w:r>
      <w:r w:rsidRPr="00153EB5">
        <w:rPr>
          <w:sz w:val="24"/>
          <w:szCs w:val="24"/>
        </w:rPr>
        <w:t>ey note by</w:t>
      </w:r>
      <w:r w:rsidR="007E1C7D">
        <w:rPr>
          <w:sz w:val="24"/>
          <w:szCs w:val="24"/>
        </w:rPr>
        <w:t xml:space="preserve"> Jose-Luis Alvarez-Galvan, OECD, including a</w:t>
      </w:r>
      <w:r w:rsidRPr="00153EB5">
        <w:rPr>
          <w:sz w:val="24"/>
          <w:szCs w:val="24"/>
        </w:rPr>
        <w:t xml:space="preserve"> presentation of the ‘Skills beyond School’ project, with </w:t>
      </w:r>
      <w:bookmarkStart w:id="0" w:name="_GoBack"/>
      <w:bookmarkEnd w:id="0"/>
      <w:r w:rsidRPr="00153EB5">
        <w:rPr>
          <w:sz w:val="24"/>
          <w:szCs w:val="24"/>
        </w:rPr>
        <w:t>questions and answers</w:t>
      </w:r>
    </w:p>
    <w:p w14:paraId="3F557B4D" w14:textId="38BF5954" w:rsidR="00A733B5" w:rsidRDefault="00A733B5" w:rsidP="00A733B5">
      <w:pPr>
        <w:ind w:left="2124" w:hanging="2124"/>
        <w:rPr>
          <w:sz w:val="24"/>
          <w:szCs w:val="24"/>
        </w:rPr>
      </w:pPr>
      <w:r w:rsidRPr="00153EB5">
        <w:rPr>
          <w:sz w:val="24"/>
          <w:szCs w:val="24"/>
        </w:rPr>
        <w:lastRenderedPageBreak/>
        <w:t xml:space="preserve">10.00 h – 10.30 h </w:t>
      </w:r>
      <w:r w:rsidRPr="00153EB5">
        <w:rPr>
          <w:sz w:val="24"/>
          <w:szCs w:val="24"/>
        </w:rPr>
        <w:tab/>
        <w:t xml:space="preserve">Panorama of good practices: </w:t>
      </w:r>
      <w:r w:rsidR="00BD0DD6">
        <w:rPr>
          <w:sz w:val="24"/>
          <w:szCs w:val="24"/>
        </w:rPr>
        <w:t>‘</w:t>
      </w:r>
      <w:r w:rsidR="00BD0DD6" w:rsidRPr="00BD0DD6">
        <w:rPr>
          <w:sz w:val="24"/>
          <w:szCs w:val="24"/>
        </w:rPr>
        <w:t>Implementation of ECVET, a challenge for all the stakeholders</w:t>
      </w:r>
      <w:r w:rsidR="00BD0DD6">
        <w:rPr>
          <w:sz w:val="24"/>
          <w:szCs w:val="24"/>
        </w:rPr>
        <w:t xml:space="preserve">’, </w:t>
      </w:r>
      <w:r w:rsidRPr="00153EB5">
        <w:rPr>
          <w:sz w:val="24"/>
          <w:szCs w:val="24"/>
        </w:rPr>
        <w:t>by Alain Bultot, EQF and ECVET National Contact Point for Belgium (Be-Fr)</w:t>
      </w:r>
    </w:p>
    <w:p w14:paraId="6371EFE3" w14:textId="04392EE3" w:rsidR="007175E3" w:rsidRPr="00153EB5" w:rsidRDefault="007175E3" w:rsidP="00A733B5">
      <w:pPr>
        <w:ind w:left="2124" w:hanging="2124"/>
        <w:rPr>
          <w:sz w:val="24"/>
          <w:szCs w:val="24"/>
        </w:rPr>
      </w:pPr>
      <w:r w:rsidRPr="000719BB">
        <w:rPr>
          <w:sz w:val="24"/>
          <w:szCs w:val="24"/>
        </w:rPr>
        <w:t xml:space="preserve">10.30 h – 11.00 h   </w:t>
      </w:r>
      <w:r w:rsidRPr="000719BB">
        <w:rPr>
          <w:sz w:val="24"/>
          <w:szCs w:val="24"/>
        </w:rPr>
        <w:tab/>
        <w:t xml:space="preserve">Panorama of good practices: </w:t>
      </w:r>
      <w:r w:rsidR="000719BB">
        <w:rPr>
          <w:sz w:val="24"/>
          <w:szCs w:val="24"/>
        </w:rPr>
        <w:t>‘</w:t>
      </w:r>
      <w:r w:rsidR="000719BB" w:rsidRPr="000719BB">
        <w:rPr>
          <w:sz w:val="24"/>
          <w:szCs w:val="24"/>
        </w:rPr>
        <w:t>Good practices in Career counselling in</w:t>
      </w:r>
      <w:r w:rsidR="000719BB" w:rsidRPr="00623C8C">
        <w:rPr>
          <w:sz w:val="24"/>
          <w:szCs w:val="24"/>
        </w:rPr>
        <w:t xml:space="preserve"> Romania</w:t>
      </w:r>
      <w:r w:rsidR="000719BB">
        <w:rPr>
          <w:sz w:val="24"/>
          <w:szCs w:val="24"/>
        </w:rPr>
        <w:t xml:space="preserve">’, by </w:t>
      </w:r>
      <w:r w:rsidR="00623C8C" w:rsidRPr="00623C8C">
        <w:rPr>
          <w:sz w:val="24"/>
          <w:szCs w:val="24"/>
        </w:rPr>
        <w:t>Marcela Calineci</w:t>
      </w:r>
      <w:r w:rsidR="000719BB">
        <w:rPr>
          <w:sz w:val="24"/>
          <w:szCs w:val="24"/>
        </w:rPr>
        <w:t xml:space="preserve">, </w:t>
      </w:r>
      <w:r w:rsidR="00EF2D67">
        <w:rPr>
          <w:sz w:val="24"/>
          <w:szCs w:val="24"/>
        </w:rPr>
        <w:t>CMBRA/ISE</w:t>
      </w:r>
    </w:p>
    <w:p w14:paraId="3F557B4E" w14:textId="47DADF7A" w:rsidR="00A733B5" w:rsidRPr="00153EB5" w:rsidRDefault="007175E3" w:rsidP="00A733B5">
      <w:pPr>
        <w:rPr>
          <w:sz w:val="24"/>
          <w:szCs w:val="24"/>
        </w:rPr>
      </w:pPr>
      <w:r>
        <w:rPr>
          <w:sz w:val="24"/>
          <w:szCs w:val="24"/>
        </w:rPr>
        <w:t>11.00 h – 11.30</w:t>
      </w:r>
      <w:r w:rsidR="00A733B5" w:rsidRPr="00153EB5">
        <w:rPr>
          <w:sz w:val="24"/>
          <w:szCs w:val="24"/>
        </w:rPr>
        <w:t xml:space="preserve"> h</w:t>
      </w:r>
      <w:r w:rsidR="00A733B5" w:rsidRPr="00153EB5">
        <w:rPr>
          <w:sz w:val="24"/>
          <w:szCs w:val="24"/>
        </w:rPr>
        <w:tab/>
        <w:t>Coffee break</w:t>
      </w:r>
    </w:p>
    <w:p w14:paraId="3F557B4F" w14:textId="3A96129F" w:rsidR="00A733B5" w:rsidRPr="00153EB5" w:rsidRDefault="007175E3" w:rsidP="00A733B5">
      <w:pPr>
        <w:rPr>
          <w:sz w:val="24"/>
          <w:szCs w:val="24"/>
        </w:rPr>
      </w:pPr>
      <w:r>
        <w:rPr>
          <w:sz w:val="24"/>
          <w:szCs w:val="24"/>
        </w:rPr>
        <w:t>11.30 h – 12.3</w:t>
      </w:r>
      <w:r w:rsidR="00A733B5" w:rsidRPr="00153EB5">
        <w:rPr>
          <w:sz w:val="24"/>
          <w:szCs w:val="24"/>
        </w:rPr>
        <w:t>0 h</w:t>
      </w:r>
      <w:r w:rsidR="00A733B5" w:rsidRPr="00153EB5">
        <w:rPr>
          <w:sz w:val="24"/>
          <w:szCs w:val="24"/>
        </w:rPr>
        <w:tab/>
        <w:t>Debate in parallel workshops</w:t>
      </w:r>
    </w:p>
    <w:p w14:paraId="3F557B50" w14:textId="0706C895" w:rsidR="00A733B5" w:rsidRPr="00153EB5" w:rsidRDefault="007175E3" w:rsidP="00A733B5">
      <w:pPr>
        <w:rPr>
          <w:sz w:val="24"/>
          <w:szCs w:val="24"/>
        </w:rPr>
      </w:pPr>
      <w:r>
        <w:rPr>
          <w:sz w:val="24"/>
          <w:szCs w:val="24"/>
        </w:rPr>
        <w:t>12.30 h – 13.3</w:t>
      </w:r>
      <w:r w:rsidR="00A733B5" w:rsidRPr="00153EB5">
        <w:rPr>
          <w:sz w:val="24"/>
          <w:szCs w:val="24"/>
        </w:rPr>
        <w:t>0 h</w:t>
      </w:r>
      <w:r w:rsidR="00A733B5" w:rsidRPr="00153EB5">
        <w:rPr>
          <w:sz w:val="24"/>
          <w:szCs w:val="24"/>
        </w:rPr>
        <w:tab/>
        <w:t>Lunch</w:t>
      </w:r>
    </w:p>
    <w:p w14:paraId="3F557B51" w14:textId="3EED1E86" w:rsidR="00A733B5" w:rsidRPr="00153EB5" w:rsidRDefault="007175E3" w:rsidP="00A733B5">
      <w:pPr>
        <w:ind w:left="2124" w:hanging="2124"/>
        <w:rPr>
          <w:sz w:val="24"/>
          <w:szCs w:val="24"/>
        </w:rPr>
      </w:pPr>
      <w:r>
        <w:rPr>
          <w:sz w:val="24"/>
          <w:szCs w:val="24"/>
        </w:rPr>
        <w:t>13.30 h – 14.0</w:t>
      </w:r>
      <w:r w:rsidR="00A733B5" w:rsidRPr="00153EB5">
        <w:rPr>
          <w:sz w:val="24"/>
          <w:szCs w:val="24"/>
        </w:rPr>
        <w:t>0 h</w:t>
      </w:r>
      <w:r w:rsidR="00A733B5" w:rsidRPr="00153EB5">
        <w:rPr>
          <w:sz w:val="24"/>
          <w:szCs w:val="24"/>
        </w:rPr>
        <w:tab/>
        <w:t>Panorama of good practices: Germany. Presentation of the study 'Germany's dual vocational training system: a model for other countries?' by Lars Thies, Bertelsmann Stiftung.</w:t>
      </w:r>
    </w:p>
    <w:p w14:paraId="3F557B52" w14:textId="07125A73" w:rsidR="00A733B5" w:rsidRPr="00153EB5" w:rsidRDefault="007175E3" w:rsidP="00A733B5">
      <w:pPr>
        <w:ind w:left="2124" w:hanging="2124"/>
        <w:rPr>
          <w:sz w:val="24"/>
          <w:szCs w:val="24"/>
        </w:rPr>
      </w:pPr>
      <w:r>
        <w:rPr>
          <w:sz w:val="24"/>
          <w:szCs w:val="24"/>
        </w:rPr>
        <w:t>14.00 h – 14.30</w:t>
      </w:r>
      <w:r w:rsidR="00A733B5" w:rsidRPr="00153EB5">
        <w:rPr>
          <w:sz w:val="24"/>
          <w:szCs w:val="24"/>
        </w:rPr>
        <w:t xml:space="preserve"> h</w:t>
      </w:r>
      <w:r w:rsidR="00A733B5" w:rsidRPr="00153EB5">
        <w:rPr>
          <w:sz w:val="24"/>
          <w:szCs w:val="24"/>
        </w:rPr>
        <w:tab/>
        <w:t xml:space="preserve">Panorama of good practices: Ireland. Presentation of the Review of apprenticeship training in Ireland by </w:t>
      </w:r>
      <w:r w:rsidR="00697223" w:rsidRPr="00697223">
        <w:rPr>
          <w:sz w:val="24"/>
          <w:szCs w:val="24"/>
        </w:rPr>
        <w:t>Fergal McCarthy</w:t>
      </w:r>
      <w:r w:rsidR="00A733B5" w:rsidRPr="00153EB5">
        <w:rPr>
          <w:sz w:val="24"/>
          <w:szCs w:val="24"/>
        </w:rPr>
        <w:t xml:space="preserve">, </w:t>
      </w:r>
      <w:r w:rsidR="00697223">
        <w:rPr>
          <w:sz w:val="24"/>
          <w:szCs w:val="24"/>
        </w:rPr>
        <w:t xml:space="preserve">Chair of Education, </w:t>
      </w:r>
      <w:r w:rsidR="00A733B5" w:rsidRPr="00153EB5">
        <w:rPr>
          <w:sz w:val="24"/>
          <w:szCs w:val="24"/>
        </w:rPr>
        <w:t xml:space="preserve">Irish Teaching Council </w:t>
      </w:r>
    </w:p>
    <w:p w14:paraId="3F557B53" w14:textId="2D4F2613" w:rsidR="00A733B5" w:rsidRPr="00153EB5" w:rsidRDefault="007175E3" w:rsidP="00A733B5">
      <w:pPr>
        <w:rPr>
          <w:sz w:val="24"/>
          <w:szCs w:val="24"/>
        </w:rPr>
      </w:pPr>
      <w:r>
        <w:rPr>
          <w:sz w:val="24"/>
          <w:szCs w:val="24"/>
        </w:rPr>
        <w:t>14.30 h – 15.00</w:t>
      </w:r>
      <w:r w:rsidR="00A733B5" w:rsidRPr="00153EB5">
        <w:rPr>
          <w:sz w:val="24"/>
          <w:szCs w:val="24"/>
        </w:rPr>
        <w:t xml:space="preserve"> h</w:t>
      </w:r>
      <w:r w:rsidR="00A733B5" w:rsidRPr="00153EB5">
        <w:rPr>
          <w:sz w:val="24"/>
          <w:szCs w:val="24"/>
        </w:rPr>
        <w:tab/>
        <w:t>Coffee break</w:t>
      </w:r>
    </w:p>
    <w:p w14:paraId="3F557B54" w14:textId="7FBFC598" w:rsidR="00A733B5" w:rsidRPr="00153EB5" w:rsidRDefault="007175E3" w:rsidP="00A733B5">
      <w:pPr>
        <w:rPr>
          <w:sz w:val="24"/>
          <w:szCs w:val="24"/>
        </w:rPr>
      </w:pPr>
      <w:r>
        <w:rPr>
          <w:sz w:val="24"/>
          <w:szCs w:val="24"/>
        </w:rPr>
        <w:t>15.00</w:t>
      </w:r>
      <w:r w:rsidR="00A733B5" w:rsidRPr="00153EB5">
        <w:rPr>
          <w:sz w:val="24"/>
          <w:szCs w:val="24"/>
        </w:rPr>
        <w:t xml:space="preserve"> h – </w:t>
      </w:r>
      <w:r>
        <w:rPr>
          <w:sz w:val="24"/>
          <w:szCs w:val="24"/>
        </w:rPr>
        <w:t>16.00</w:t>
      </w:r>
      <w:r w:rsidR="00A733B5" w:rsidRPr="00153EB5">
        <w:rPr>
          <w:sz w:val="24"/>
          <w:szCs w:val="24"/>
        </w:rPr>
        <w:t xml:space="preserve"> h </w:t>
      </w:r>
      <w:r w:rsidR="00A733B5" w:rsidRPr="00153EB5">
        <w:rPr>
          <w:sz w:val="24"/>
          <w:szCs w:val="24"/>
        </w:rPr>
        <w:tab/>
        <w:t>Debate in parallel workshops</w:t>
      </w:r>
    </w:p>
    <w:p w14:paraId="3F557B55" w14:textId="08B30592" w:rsidR="00A733B5" w:rsidRPr="00153EB5" w:rsidRDefault="007175E3" w:rsidP="00A733B5">
      <w:pPr>
        <w:rPr>
          <w:sz w:val="24"/>
          <w:szCs w:val="24"/>
        </w:rPr>
      </w:pPr>
      <w:r>
        <w:rPr>
          <w:sz w:val="24"/>
          <w:szCs w:val="24"/>
        </w:rPr>
        <w:t xml:space="preserve">16.00 h </w:t>
      </w:r>
      <w:r w:rsidR="00A733B5" w:rsidRPr="00153EB5">
        <w:rPr>
          <w:sz w:val="24"/>
          <w:szCs w:val="24"/>
        </w:rPr>
        <w:tab/>
      </w:r>
      <w:r>
        <w:rPr>
          <w:sz w:val="24"/>
          <w:szCs w:val="24"/>
        </w:rPr>
        <w:tab/>
        <w:t xml:space="preserve">Closing address by the president </w:t>
      </w:r>
    </w:p>
    <w:p w14:paraId="3F557B56" w14:textId="12CEE3FF" w:rsidR="00A733B5" w:rsidRPr="00153EB5" w:rsidRDefault="008E70C9" w:rsidP="00A733B5">
      <w:pPr>
        <w:rPr>
          <w:sz w:val="24"/>
          <w:szCs w:val="24"/>
        </w:rPr>
      </w:pPr>
      <w:r>
        <w:rPr>
          <w:sz w:val="24"/>
          <w:szCs w:val="24"/>
        </w:rPr>
        <w:t>18.30</w:t>
      </w:r>
      <w:r w:rsidR="00A733B5" w:rsidRPr="00153EB5">
        <w:rPr>
          <w:sz w:val="24"/>
          <w:szCs w:val="24"/>
        </w:rPr>
        <w:t xml:space="preserve"> h </w:t>
      </w:r>
      <w:r w:rsidR="00A733B5" w:rsidRPr="00153EB5">
        <w:rPr>
          <w:sz w:val="24"/>
          <w:szCs w:val="24"/>
        </w:rPr>
        <w:tab/>
      </w:r>
      <w:r w:rsidR="00A733B5" w:rsidRPr="00153EB5">
        <w:rPr>
          <w:sz w:val="24"/>
          <w:szCs w:val="24"/>
        </w:rPr>
        <w:tab/>
      </w:r>
      <w:r w:rsidR="00280806">
        <w:rPr>
          <w:sz w:val="24"/>
          <w:szCs w:val="24"/>
        </w:rPr>
        <w:t>C</w:t>
      </w:r>
      <w:r w:rsidR="00A733B5" w:rsidRPr="00153EB5">
        <w:rPr>
          <w:sz w:val="24"/>
          <w:szCs w:val="24"/>
        </w:rPr>
        <w:t>onference dinner</w:t>
      </w:r>
    </w:p>
    <w:p w14:paraId="3F557B57" w14:textId="77777777" w:rsidR="00A733B5" w:rsidRPr="00153EB5" w:rsidRDefault="00A733B5" w:rsidP="00A733B5">
      <w:pPr>
        <w:rPr>
          <w:b/>
          <w:sz w:val="24"/>
          <w:szCs w:val="24"/>
        </w:rPr>
      </w:pPr>
      <w:r w:rsidRPr="00153EB5">
        <w:rPr>
          <w:b/>
          <w:sz w:val="24"/>
          <w:szCs w:val="24"/>
        </w:rPr>
        <w:t>Wednesday 22 October</w:t>
      </w:r>
    </w:p>
    <w:p w14:paraId="1BCDD901" w14:textId="1C0E9D2C" w:rsidR="000719BB" w:rsidRDefault="006E5648" w:rsidP="000719BB">
      <w:pPr>
        <w:ind w:left="2124" w:hanging="2124"/>
        <w:rPr>
          <w:sz w:val="24"/>
          <w:szCs w:val="24"/>
        </w:rPr>
      </w:pPr>
      <w:r>
        <w:rPr>
          <w:sz w:val="24"/>
          <w:szCs w:val="24"/>
        </w:rPr>
        <w:t xml:space="preserve">09.00 h – </w:t>
      </w:r>
      <w:r w:rsidR="000719BB">
        <w:rPr>
          <w:sz w:val="24"/>
          <w:szCs w:val="24"/>
        </w:rPr>
        <w:t xml:space="preserve">11.30 </w:t>
      </w:r>
      <w:r>
        <w:rPr>
          <w:sz w:val="24"/>
          <w:szCs w:val="24"/>
        </w:rPr>
        <w:t xml:space="preserve"> h</w:t>
      </w:r>
      <w:r>
        <w:rPr>
          <w:sz w:val="24"/>
          <w:szCs w:val="24"/>
        </w:rPr>
        <w:tab/>
      </w:r>
      <w:r w:rsidR="00A733B5" w:rsidRPr="00153EB5">
        <w:rPr>
          <w:sz w:val="24"/>
          <w:szCs w:val="24"/>
        </w:rPr>
        <w:t xml:space="preserve">Meeting of the executive committee </w:t>
      </w:r>
      <w:r w:rsidR="000719BB" w:rsidRPr="000719BB">
        <w:rPr>
          <w:sz w:val="24"/>
          <w:szCs w:val="24"/>
        </w:rPr>
        <w:t>(for EUNEC members only)</w:t>
      </w:r>
    </w:p>
    <w:p w14:paraId="3F557B58" w14:textId="77B05A4D" w:rsidR="00A733B5" w:rsidRDefault="000719BB" w:rsidP="000719BB">
      <w:pPr>
        <w:ind w:left="2124" w:hanging="2124"/>
        <w:rPr>
          <w:sz w:val="24"/>
          <w:szCs w:val="24"/>
        </w:rPr>
      </w:pPr>
      <w:r>
        <w:rPr>
          <w:sz w:val="24"/>
          <w:szCs w:val="24"/>
        </w:rPr>
        <w:t xml:space="preserve">11.30 h – 12.30 h </w:t>
      </w:r>
      <w:r>
        <w:rPr>
          <w:sz w:val="24"/>
          <w:szCs w:val="24"/>
        </w:rPr>
        <w:tab/>
        <w:t xml:space="preserve">Meeting of </w:t>
      </w:r>
      <w:r w:rsidR="00A733B5" w:rsidRPr="00153EB5">
        <w:rPr>
          <w:sz w:val="24"/>
          <w:szCs w:val="24"/>
        </w:rPr>
        <w:t>the general assembly (for EUNEC members only)</w:t>
      </w:r>
    </w:p>
    <w:p w14:paraId="4C60F1BD" w14:textId="29E7144E" w:rsidR="006E5648" w:rsidRPr="00153EB5" w:rsidRDefault="000719BB" w:rsidP="006E5648">
      <w:pPr>
        <w:ind w:left="2124" w:hanging="2124"/>
        <w:rPr>
          <w:sz w:val="24"/>
          <w:szCs w:val="24"/>
        </w:rPr>
      </w:pPr>
      <w:r>
        <w:rPr>
          <w:sz w:val="24"/>
          <w:szCs w:val="24"/>
        </w:rPr>
        <w:t>12.30 h – 13.30 h</w:t>
      </w:r>
      <w:r w:rsidR="006E5648">
        <w:rPr>
          <w:sz w:val="24"/>
          <w:szCs w:val="24"/>
        </w:rPr>
        <w:tab/>
        <w:t xml:space="preserve">Closing lunch </w:t>
      </w:r>
    </w:p>
    <w:p w14:paraId="3F557B59" w14:textId="77777777" w:rsidR="0053351E" w:rsidRPr="00153EB5" w:rsidRDefault="0053351E" w:rsidP="0053351E">
      <w:pPr>
        <w:ind w:left="2124" w:hanging="2124"/>
        <w:rPr>
          <w:sz w:val="24"/>
          <w:szCs w:val="24"/>
        </w:rPr>
      </w:pPr>
    </w:p>
    <w:p w14:paraId="3F557B5A" w14:textId="77777777" w:rsidR="0053351E" w:rsidRPr="0053351E" w:rsidRDefault="0053351E" w:rsidP="0053351E">
      <w:pPr>
        <w:ind w:left="2124" w:hanging="2124"/>
        <w:rPr>
          <w:sz w:val="24"/>
          <w:szCs w:val="24"/>
        </w:rPr>
      </w:pPr>
    </w:p>
    <w:sectPr w:rsidR="0053351E" w:rsidRPr="0053351E" w:rsidSect="005C4EA5">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FED66" w14:textId="77777777" w:rsidR="00810027" w:rsidRDefault="00810027" w:rsidP="000521AB">
      <w:pPr>
        <w:spacing w:after="0" w:line="240" w:lineRule="auto"/>
      </w:pPr>
      <w:r>
        <w:separator/>
      </w:r>
    </w:p>
  </w:endnote>
  <w:endnote w:type="continuationSeparator" w:id="0">
    <w:p w14:paraId="59AB6008" w14:textId="77777777" w:rsidR="00810027" w:rsidRDefault="00810027" w:rsidP="000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F53E8" w14:textId="77777777" w:rsidR="00810027" w:rsidRDefault="00810027" w:rsidP="000521AB">
      <w:pPr>
        <w:spacing w:after="0" w:line="240" w:lineRule="auto"/>
      </w:pPr>
      <w:r>
        <w:separator/>
      </w:r>
    </w:p>
  </w:footnote>
  <w:footnote w:type="continuationSeparator" w:id="0">
    <w:p w14:paraId="00306F5E" w14:textId="77777777" w:rsidR="00810027" w:rsidRDefault="00810027" w:rsidP="0005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57B63" w14:textId="59FACD97" w:rsidR="0053351E" w:rsidRDefault="00697223">
    <w:pPr>
      <w:pStyle w:val="Koptekst"/>
    </w:pPr>
    <w:r>
      <w:tab/>
    </w:r>
    <w:r>
      <w:tab/>
      <w:t>EUN/DOC/051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93B"/>
    <w:multiLevelType w:val="hybridMultilevel"/>
    <w:tmpl w:val="3B628A28"/>
    <w:lvl w:ilvl="0" w:tplc="009E140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607364"/>
    <w:multiLevelType w:val="hybridMultilevel"/>
    <w:tmpl w:val="0F6AD78C"/>
    <w:lvl w:ilvl="0" w:tplc="33FC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B24BA"/>
    <w:multiLevelType w:val="hybridMultilevel"/>
    <w:tmpl w:val="22487E10"/>
    <w:lvl w:ilvl="0" w:tplc="009E140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6C71221"/>
    <w:multiLevelType w:val="hybridMultilevel"/>
    <w:tmpl w:val="43569E8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4047ED"/>
    <w:multiLevelType w:val="hybridMultilevel"/>
    <w:tmpl w:val="21202B74"/>
    <w:lvl w:ilvl="0" w:tplc="374234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4FF7D71"/>
    <w:multiLevelType w:val="hybridMultilevel"/>
    <w:tmpl w:val="6BAAF2FA"/>
    <w:lvl w:ilvl="0" w:tplc="B27EF7D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73F4F"/>
    <w:multiLevelType w:val="hybridMultilevel"/>
    <w:tmpl w:val="47D8B88E"/>
    <w:lvl w:ilvl="0" w:tplc="74B84D78">
      <w:start w:val="1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163D02"/>
    <w:multiLevelType w:val="hybridMultilevel"/>
    <w:tmpl w:val="908AA36A"/>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404E23F0"/>
    <w:multiLevelType w:val="hybridMultilevel"/>
    <w:tmpl w:val="9F02A91E"/>
    <w:lvl w:ilvl="0" w:tplc="0330B67E">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78649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num w:numId="1">
    <w:abstractNumId w:val="9"/>
  </w:num>
  <w:num w:numId="2">
    <w:abstractNumId w:val="10"/>
  </w:num>
  <w:num w:numId="3">
    <w:abstractNumId w:val="4"/>
  </w:num>
  <w:num w:numId="4">
    <w:abstractNumId w:val="9"/>
  </w:num>
  <w:num w:numId="5">
    <w:abstractNumId w:val="8"/>
  </w:num>
  <w:num w:numId="6">
    <w:abstractNumId w:val="2"/>
  </w:num>
  <w:num w:numId="7">
    <w:abstractNumId w:val="0"/>
  </w:num>
  <w:num w:numId="8">
    <w:abstractNumId w:val="6"/>
  </w:num>
  <w:num w:numId="9">
    <w:abstractNumId w:val="9"/>
  </w:num>
  <w:num w:numId="10">
    <w:abstractNumId w:val="9"/>
  </w:num>
  <w:num w:numId="11">
    <w:abstractNumId w:val="5"/>
  </w:num>
  <w:num w:numId="12">
    <w:abstractNumId w:val="1"/>
  </w:num>
  <w:num w:numId="13">
    <w:abstractNumId w:val="9"/>
  </w:num>
  <w:num w:numId="14">
    <w:abstractNumId w:val="3"/>
  </w:num>
  <w:num w:numId="15">
    <w:abstractNumId w:val="7"/>
  </w:num>
  <w:num w:numId="16">
    <w:abstractNumId w:val="9"/>
  </w:num>
  <w:num w:numId="17">
    <w:abstractNumId w:val="10"/>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AF"/>
    <w:rsid w:val="000026B1"/>
    <w:rsid w:val="00002BEA"/>
    <w:rsid w:val="0005210D"/>
    <w:rsid w:val="000521AB"/>
    <w:rsid w:val="00055186"/>
    <w:rsid w:val="00055522"/>
    <w:rsid w:val="000605AC"/>
    <w:rsid w:val="000648DA"/>
    <w:rsid w:val="00070D5F"/>
    <w:rsid w:val="000719BB"/>
    <w:rsid w:val="000878C3"/>
    <w:rsid w:val="000A17EA"/>
    <w:rsid w:val="000A792A"/>
    <w:rsid w:val="000B0C12"/>
    <w:rsid w:val="000C4A10"/>
    <w:rsid w:val="000C52ED"/>
    <w:rsid w:val="000D21AA"/>
    <w:rsid w:val="000D5B8D"/>
    <w:rsid w:val="000D731F"/>
    <w:rsid w:val="000E2741"/>
    <w:rsid w:val="000E3B9A"/>
    <w:rsid w:val="000F5560"/>
    <w:rsid w:val="000F632A"/>
    <w:rsid w:val="000F6BA9"/>
    <w:rsid w:val="00111E61"/>
    <w:rsid w:val="00121104"/>
    <w:rsid w:val="0012680C"/>
    <w:rsid w:val="00140E3A"/>
    <w:rsid w:val="00145FC0"/>
    <w:rsid w:val="00147ED6"/>
    <w:rsid w:val="00150DF1"/>
    <w:rsid w:val="00153EB5"/>
    <w:rsid w:val="0016581D"/>
    <w:rsid w:val="00177374"/>
    <w:rsid w:val="001946CB"/>
    <w:rsid w:val="00194E2A"/>
    <w:rsid w:val="001A6229"/>
    <w:rsid w:val="001B7330"/>
    <w:rsid w:val="001C306B"/>
    <w:rsid w:val="001D2345"/>
    <w:rsid w:val="001E172F"/>
    <w:rsid w:val="001F3B80"/>
    <w:rsid w:val="0020583D"/>
    <w:rsid w:val="00230589"/>
    <w:rsid w:val="0023410B"/>
    <w:rsid w:val="002376C5"/>
    <w:rsid w:val="002646D2"/>
    <w:rsid w:val="00273BDB"/>
    <w:rsid w:val="00280806"/>
    <w:rsid w:val="00285F90"/>
    <w:rsid w:val="00294F16"/>
    <w:rsid w:val="00296703"/>
    <w:rsid w:val="002B06BB"/>
    <w:rsid w:val="002B40B8"/>
    <w:rsid w:val="002C3EA6"/>
    <w:rsid w:val="002D00BC"/>
    <w:rsid w:val="002E5A80"/>
    <w:rsid w:val="002E795F"/>
    <w:rsid w:val="002F1B54"/>
    <w:rsid w:val="00320B7C"/>
    <w:rsid w:val="00322B30"/>
    <w:rsid w:val="003301C7"/>
    <w:rsid w:val="003332F7"/>
    <w:rsid w:val="003376F3"/>
    <w:rsid w:val="003461FB"/>
    <w:rsid w:val="003473A5"/>
    <w:rsid w:val="003732A8"/>
    <w:rsid w:val="003840AD"/>
    <w:rsid w:val="003906B2"/>
    <w:rsid w:val="003A79EC"/>
    <w:rsid w:val="00410CEB"/>
    <w:rsid w:val="00440F3C"/>
    <w:rsid w:val="004511F9"/>
    <w:rsid w:val="00452418"/>
    <w:rsid w:val="00466680"/>
    <w:rsid w:val="00483B3A"/>
    <w:rsid w:val="004A3FA2"/>
    <w:rsid w:val="004B192B"/>
    <w:rsid w:val="004B1E0A"/>
    <w:rsid w:val="004D7928"/>
    <w:rsid w:val="004E7318"/>
    <w:rsid w:val="004F41AF"/>
    <w:rsid w:val="00501E92"/>
    <w:rsid w:val="00503A5F"/>
    <w:rsid w:val="00507EAE"/>
    <w:rsid w:val="00512858"/>
    <w:rsid w:val="005269C6"/>
    <w:rsid w:val="0053351E"/>
    <w:rsid w:val="005445AE"/>
    <w:rsid w:val="005479CF"/>
    <w:rsid w:val="005542C7"/>
    <w:rsid w:val="00564948"/>
    <w:rsid w:val="0059187E"/>
    <w:rsid w:val="00591E1E"/>
    <w:rsid w:val="00594640"/>
    <w:rsid w:val="00595B94"/>
    <w:rsid w:val="005B2C13"/>
    <w:rsid w:val="005B4374"/>
    <w:rsid w:val="005B72AC"/>
    <w:rsid w:val="005C1258"/>
    <w:rsid w:val="005C1A4E"/>
    <w:rsid w:val="005C4EA5"/>
    <w:rsid w:val="005D12AA"/>
    <w:rsid w:val="005D7EB1"/>
    <w:rsid w:val="005E5187"/>
    <w:rsid w:val="006001AC"/>
    <w:rsid w:val="00600912"/>
    <w:rsid w:val="00622F30"/>
    <w:rsid w:val="00623C8C"/>
    <w:rsid w:val="00625380"/>
    <w:rsid w:val="006429F1"/>
    <w:rsid w:val="00646F06"/>
    <w:rsid w:val="00664B8B"/>
    <w:rsid w:val="00685CAB"/>
    <w:rsid w:val="006906A1"/>
    <w:rsid w:val="00695C7C"/>
    <w:rsid w:val="00697223"/>
    <w:rsid w:val="006A0A0C"/>
    <w:rsid w:val="006A4769"/>
    <w:rsid w:val="006B66D1"/>
    <w:rsid w:val="006C6B7E"/>
    <w:rsid w:val="006D3D95"/>
    <w:rsid w:val="006D523F"/>
    <w:rsid w:val="006E5648"/>
    <w:rsid w:val="006F46C8"/>
    <w:rsid w:val="00713854"/>
    <w:rsid w:val="007175E3"/>
    <w:rsid w:val="0072583D"/>
    <w:rsid w:val="007553B4"/>
    <w:rsid w:val="00757DBC"/>
    <w:rsid w:val="007624B4"/>
    <w:rsid w:val="007710F8"/>
    <w:rsid w:val="00776F86"/>
    <w:rsid w:val="0079398D"/>
    <w:rsid w:val="007A4ABB"/>
    <w:rsid w:val="007D100F"/>
    <w:rsid w:val="007E1C7D"/>
    <w:rsid w:val="007F0468"/>
    <w:rsid w:val="0080055F"/>
    <w:rsid w:val="008052A6"/>
    <w:rsid w:val="00806FA7"/>
    <w:rsid w:val="00810027"/>
    <w:rsid w:val="008248F5"/>
    <w:rsid w:val="00825654"/>
    <w:rsid w:val="00835CD4"/>
    <w:rsid w:val="008519C7"/>
    <w:rsid w:val="00853370"/>
    <w:rsid w:val="008538A4"/>
    <w:rsid w:val="00861C04"/>
    <w:rsid w:val="0087078F"/>
    <w:rsid w:val="00875E69"/>
    <w:rsid w:val="00887B56"/>
    <w:rsid w:val="008924F3"/>
    <w:rsid w:val="008A6B5B"/>
    <w:rsid w:val="008C1427"/>
    <w:rsid w:val="008C42E9"/>
    <w:rsid w:val="008C4BC4"/>
    <w:rsid w:val="008C7C07"/>
    <w:rsid w:val="008D3B87"/>
    <w:rsid w:val="008D737A"/>
    <w:rsid w:val="008E09B2"/>
    <w:rsid w:val="008E1C18"/>
    <w:rsid w:val="008E2FF8"/>
    <w:rsid w:val="008E70C9"/>
    <w:rsid w:val="008F789F"/>
    <w:rsid w:val="00907528"/>
    <w:rsid w:val="00910571"/>
    <w:rsid w:val="00916E5B"/>
    <w:rsid w:val="009202C3"/>
    <w:rsid w:val="009258A8"/>
    <w:rsid w:val="00926A84"/>
    <w:rsid w:val="009305A4"/>
    <w:rsid w:val="00937B2D"/>
    <w:rsid w:val="0095562E"/>
    <w:rsid w:val="009605EE"/>
    <w:rsid w:val="00981C74"/>
    <w:rsid w:val="00992F26"/>
    <w:rsid w:val="009A1F24"/>
    <w:rsid w:val="009A3664"/>
    <w:rsid w:val="009A4E1D"/>
    <w:rsid w:val="009B2D12"/>
    <w:rsid w:val="009D6ED6"/>
    <w:rsid w:val="009F244B"/>
    <w:rsid w:val="009F7324"/>
    <w:rsid w:val="00A1721A"/>
    <w:rsid w:val="00A256B6"/>
    <w:rsid w:val="00A30B46"/>
    <w:rsid w:val="00A40059"/>
    <w:rsid w:val="00A45FF6"/>
    <w:rsid w:val="00A507C8"/>
    <w:rsid w:val="00A56076"/>
    <w:rsid w:val="00A733B5"/>
    <w:rsid w:val="00AA60E4"/>
    <w:rsid w:val="00AB1A1F"/>
    <w:rsid w:val="00AB326D"/>
    <w:rsid w:val="00AB7859"/>
    <w:rsid w:val="00AC5C6B"/>
    <w:rsid w:val="00AC6709"/>
    <w:rsid w:val="00AD2BAE"/>
    <w:rsid w:val="00AD3E6B"/>
    <w:rsid w:val="00B142E9"/>
    <w:rsid w:val="00B154C4"/>
    <w:rsid w:val="00B2203B"/>
    <w:rsid w:val="00B57ECA"/>
    <w:rsid w:val="00B61D33"/>
    <w:rsid w:val="00B67F21"/>
    <w:rsid w:val="00BA5877"/>
    <w:rsid w:val="00BC19A9"/>
    <w:rsid w:val="00BC60B9"/>
    <w:rsid w:val="00BD0DD6"/>
    <w:rsid w:val="00BD570F"/>
    <w:rsid w:val="00BD5D67"/>
    <w:rsid w:val="00BD6EF7"/>
    <w:rsid w:val="00BE2299"/>
    <w:rsid w:val="00BF12D7"/>
    <w:rsid w:val="00BF6E9B"/>
    <w:rsid w:val="00C15F0E"/>
    <w:rsid w:val="00C24831"/>
    <w:rsid w:val="00C30F33"/>
    <w:rsid w:val="00C32164"/>
    <w:rsid w:val="00C335C3"/>
    <w:rsid w:val="00C37D26"/>
    <w:rsid w:val="00C44398"/>
    <w:rsid w:val="00C76DDD"/>
    <w:rsid w:val="00C87EEF"/>
    <w:rsid w:val="00C923BE"/>
    <w:rsid w:val="00C951B8"/>
    <w:rsid w:val="00C963A0"/>
    <w:rsid w:val="00C974FD"/>
    <w:rsid w:val="00CA545B"/>
    <w:rsid w:val="00CC5CF6"/>
    <w:rsid w:val="00CD09FC"/>
    <w:rsid w:val="00CD22E6"/>
    <w:rsid w:val="00CD32CE"/>
    <w:rsid w:val="00CD38CF"/>
    <w:rsid w:val="00CF7A13"/>
    <w:rsid w:val="00D05EAF"/>
    <w:rsid w:val="00D22B26"/>
    <w:rsid w:val="00D273F3"/>
    <w:rsid w:val="00D27C0B"/>
    <w:rsid w:val="00D81CBD"/>
    <w:rsid w:val="00D84A25"/>
    <w:rsid w:val="00D84C61"/>
    <w:rsid w:val="00D94C55"/>
    <w:rsid w:val="00DA2047"/>
    <w:rsid w:val="00DD6A1C"/>
    <w:rsid w:val="00DF15E4"/>
    <w:rsid w:val="00E06EA7"/>
    <w:rsid w:val="00E20D49"/>
    <w:rsid w:val="00E253B3"/>
    <w:rsid w:val="00E4622C"/>
    <w:rsid w:val="00E518D1"/>
    <w:rsid w:val="00E7424D"/>
    <w:rsid w:val="00E74FEA"/>
    <w:rsid w:val="00E82DA2"/>
    <w:rsid w:val="00E84714"/>
    <w:rsid w:val="00EB3031"/>
    <w:rsid w:val="00EC19D2"/>
    <w:rsid w:val="00EC223B"/>
    <w:rsid w:val="00EC66FA"/>
    <w:rsid w:val="00ED1C54"/>
    <w:rsid w:val="00EE69A0"/>
    <w:rsid w:val="00EE6C50"/>
    <w:rsid w:val="00EF2D67"/>
    <w:rsid w:val="00F06278"/>
    <w:rsid w:val="00F1361A"/>
    <w:rsid w:val="00F25685"/>
    <w:rsid w:val="00F42F2D"/>
    <w:rsid w:val="00F642F6"/>
    <w:rsid w:val="00F73061"/>
    <w:rsid w:val="00F7313D"/>
    <w:rsid w:val="00F74055"/>
    <w:rsid w:val="00F740FD"/>
    <w:rsid w:val="00F837E8"/>
    <w:rsid w:val="00F87666"/>
    <w:rsid w:val="00F951A4"/>
    <w:rsid w:val="00FB344A"/>
    <w:rsid w:val="00FF3861"/>
    <w:rsid w:val="00FF6D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3C8C"/>
  </w:style>
  <w:style w:type="paragraph" w:styleId="Kop1">
    <w:name w:val="heading 1"/>
    <w:basedOn w:val="Standaard"/>
    <w:next w:val="Standaard"/>
    <w:link w:val="Kop1Char"/>
    <w:uiPriority w:val="9"/>
    <w:qFormat/>
    <w:rsid w:val="009F732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F73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F73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F73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F73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F73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F73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F73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F73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111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11E61"/>
    <w:rPr>
      <w:rFonts w:ascii="Tahoma" w:hAnsi="Tahoma" w:cs="Tahoma"/>
      <w:sz w:val="16"/>
      <w:szCs w:val="16"/>
    </w:rPr>
  </w:style>
  <w:style w:type="paragraph" w:styleId="Titel">
    <w:name w:val="Title"/>
    <w:basedOn w:val="Standaard"/>
    <w:next w:val="Standaard"/>
    <w:link w:val="TitelChar"/>
    <w:uiPriority w:val="10"/>
    <w:qFormat/>
    <w:rsid w:val="009F7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7324"/>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9F732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F732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F732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9F732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9F732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9F732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9F732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F732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F7324"/>
    <w:rPr>
      <w:rFonts w:asciiTheme="majorHAnsi" w:eastAsiaTheme="majorEastAsia" w:hAnsiTheme="majorHAnsi" w:cstheme="majorBidi"/>
      <w:i/>
      <w:iCs/>
      <w:color w:val="404040" w:themeColor="text1" w:themeTint="BF"/>
      <w:sz w:val="20"/>
      <w:szCs w:val="20"/>
    </w:rPr>
  </w:style>
  <w:style w:type="paragraph" w:customStyle="1" w:styleId="Standaardopsomming1">
    <w:name w:val="Standaard opsomming1"/>
    <w:basedOn w:val="Lijstalinea"/>
    <w:qFormat/>
    <w:rsid w:val="00002BEA"/>
    <w:pPr>
      <w:numPr>
        <w:numId w:val="2"/>
      </w:numPr>
      <w:tabs>
        <w:tab w:val="left" w:pos="567"/>
      </w:tabs>
      <w:spacing w:after="120" w:line="280" w:lineRule="exact"/>
    </w:pPr>
    <w:rPr>
      <w:rFonts w:eastAsia="Times New Roman" w:cs="Times New Roman"/>
      <w:sz w:val="24"/>
      <w:szCs w:val="24"/>
      <w:lang w:eastAsia="nl-NL"/>
    </w:rPr>
  </w:style>
  <w:style w:type="character" w:styleId="Voetnootmarkering">
    <w:name w:val="footnote reference"/>
    <w:basedOn w:val="Standaardalinea-lettertype"/>
    <w:semiHidden/>
    <w:rsid w:val="000521AB"/>
    <w:rPr>
      <w:vertAlign w:val="superscript"/>
    </w:rPr>
  </w:style>
  <w:style w:type="paragraph" w:styleId="Voetnoottekst">
    <w:name w:val="footnote text"/>
    <w:basedOn w:val="Standaard"/>
    <w:link w:val="VoetnoottekstChar"/>
    <w:rsid w:val="000521A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rsid w:val="000521AB"/>
    <w:rPr>
      <w:rFonts w:ascii="Franklin Gothic Book" w:eastAsia="Times New Roman" w:hAnsi="Franklin Gothic Book" w:cs="Times New Roman"/>
      <w:sz w:val="16"/>
      <w:szCs w:val="20"/>
      <w:lang w:eastAsia="nl-NL"/>
    </w:rPr>
  </w:style>
  <w:style w:type="paragraph" w:styleId="Lijstalinea">
    <w:name w:val="List Paragraph"/>
    <w:basedOn w:val="Standaard"/>
    <w:uiPriority w:val="34"/>
    <w:qFormat/>
    <w:rsid w:val="000521AB"/>
    <w:pPr>
      <w:ind w:left="720"/>
      <w:contextualSpacing/>
    </w:pPr>
  </w:style>
  <w:style w:type="paragraph" w:styleId="Ondertitel">
    <w:name w:val="Subtitle"/>
    <w:basedOn w:val="Standaard"/>
    <w:next w:val="Standaard"/>
    <w:link w:val="OndertitelChar"/>
    <w:uiPriority w:val="11"/>
    <w:qFormat/>
    <w:rsid w:val="00002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026B1"/>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2D00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0BC"/>
    <w:rPr>
      <w:rFonts w:ascii="Tahoma" w:hAnsi="Tahoma" w:cs="Tahoma"/>
      <w:sz w:val="16"/>
      <w:szCs w:val="16"/>
    </w:rPr>
  </w:style>
  <w:style w:type="character" w:styleId="Hyperlink">
    <w:name w:val="Hyperlink"/>
    <w:basedOn w:val="Standaardalinea-lettertype"/>
    <w:uiPriority w:val="99"/>
    <w:unhideWhenUsed/>
    <w:rsid w:val="009F244B"/>
    <w:rPr>
      <w:color w:val="0000FF" w:themeColor="hyperlink"/>
      <w:u w:val="single"/>
    </w:rPr>
  </w:style>
  <w:style w:type="character" w:styleId="GevolgdeHyperlink">
    <w:name w:val="FollowedHyperlink"/>
    <w:basedOn w:val="Standaardalinea-lettertype"/>
    <w:uiPriority w:val="99"/>
    <w:semiHidden/>
    <w:unhideWhenUsed/>
    <w:rsid w:val="00CD22E6"/>
    <w:rPr>
      <w:color w:val="800080" w:themeColor="followedHyperlink"/>
      <w:u w:val="single"/>
    </w:rPr>
  </w:style>
  <w:style w:type="paragraph" w:styleId="Koptekst">
    <w:name w:val="header"/>
    <w:basedOn w:val="Standaard"/>
    <w:link w:val="KoptekstChar"/>
    <w:uiPriority w:val="99"/>
    <w:unhideWhenUsed/>
    <w:rsid w:val="005335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351E"/>
  </w:style>
  <w:style w:type="paragraph" w:styleId="Voettekst">
    <w:name w:val="footer"/>
    <w:basedOn w:val="Standaard"/>
    <w:link w:val="VoettekstChar"/>
    <w:uiPriority w:val="99"/>
    <w:unhideWhenUsed/>
    <w:rsid w:val="005335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351E"/>
  </w:style>
  <w:style w:type="paragraph" w:customStyle="1" w:styleId="basis">
    <w:name w:val="basis"/>
    <w:basedOn w:val="Standaard"/>
    <w:autoRedefine/>
    <w:rsid w:val="00501E92"/>
    <w:pPr>
      <w:spacing w:after="120" w:line="280" w:lineRule="exact"/>
    </w:pPr>
    <w:rPr>
      <w:rFonts w:ascii="Verdana" w:eastAsia="Times New Roman" w:hAnsi="Verdana" w:cs="Times New Roman"/>
      <w:b/>
      <w:sz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3C8C"/>
  </w:style>
  <w:style w:type="paragraph" w:styleId="Kop1">
    <w:name w:val="heading 1"/>
    <w:basedOn w:val="Standaard"/>
    <w:next w:val="Standaard"/>
    <w:link w:val="Kop1Char"/>
    <w:uiPriority w:val="9"/>
    <w:qFormat/>
    <w:rsid w:val="009F732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F73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F73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F73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F73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F73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F73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F73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F73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111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11E61"/>
    <w:rPr>
      <w:rFonts w:ascii="Tahoma" w:hAnsi="Tahoma" w:cs="Tahoma"/>
      <w:sz w:val="16"/>
      <w:szCs w:val="16"/>
    </w:rPr>
  </w:style>
  <w:style w:type="paragraph" w:styleId="Titel">
    <w:name w:val="Title"/>
    <w:basedOn w:val="Standaard"/>
    <w:next w:val="Standaard"/>
    <w:link w:val="TitelChar"/>
    <w:uiPriority w:val="10"/>
    <w:qFormat/>
    <w:rsid w:val="009F7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7324"/>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9F732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F732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F732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9F732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9F732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9F732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9F732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F732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F7324"/>
    <w:rPr>
      <w:rFonts w:asciiTheme="majorHAnsi" w:eastAsiaTheme="majorEastAsia" w:hAnsiTheme="majorHAnsi" w:cstheme="majorBidi"/>
      <w:i/>
      <w:iCs/>
      <w:color w:val="404040" w:themeColor="text1" w:themeTint="BF"/>
      <w:sz w:val="20"/>
      <w:szCs w:val="20"/>
    </w:rPr>
  </w:style>
  <w:style w:type="paragraph" w:customStyle="1" w:styleId="Standaardopsomming1">
    <w:name w:val="Standaard opsomming1"/>
    <w:basedOn w:val="Lijstalinea"/>
    <w:qFormat/>
    <w:rsid w:val="00002BEA"/>
    <w:pPr>
      <w:numPr>
        <w:numId w:val="2"/>
      </w:numPr>
      <w:tabs>
        <w:tab w:val="left" w:pos="567"/>
      </w:tabs>
      <w:spacing w:after="120" w:line="280" w:lineRule="exact"/>
    </w:pPr>
    <w:rPr>
      <w:rFonts w:eastAsia="Times New Roman" w:cs="Times New Roman"/>
      <w:sz w:val="24"/>
      <w:szCs w:val="24"/>
      <w:lang w:eastAsia="nl-NL"/>
    </w:rPr>
  </w:style>
  <w:style w:type="character" w:styleId="Voetnootmarkering">
    <w:name w:val="footnote reference"/>
    <w:basedOn w:val="Standaardalinea-lettertype"/>
    <w:semiHidden/>
    <w:rsid w:val="000521AB"/>
    <w:rPr>
      <w:vertAlign w:val="superscript"/>
    </w:rPr>
  </w:style>
  <w:style w:type="paragraph" w:styleId="Voetnoottekst">
    <w:name w:val="footnote text"/>
    <w:basedOn w:val="Standaard"/>
    <w:link w:val="VoetnoottekstChar"/>
    <w:rsid w:val="000521A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rsid w:val="000521AB"/>
    <w:rPr>
      <w:rFonts w:ascii="Franklin Gothic Book" w:eastAsia="Times New Roman" w:hAnsi="Franklin Gothic Book" w:cs="Times New Roman"/>
      <w:sz w:val="16"/>
      <w:szCs w:val="20"/>
      <w:lang w:eastAsia="nl-NL"/>
    </w:rPr>
  </w:style>
  <w:style w:type="paragraph" w:styleId="Lijstalinea">
    <w:name w:val="List Paragraph"/>
    <w:basedOn w:val="Standaard"/>
    <w:uiPriority w:val="34"/>
    <w:qFormat/>
    <w:rsid w:val="000521AB"/>
    <w:pPr>
      <w:ind w:left="720"/>
      <w:contextualSpacing/>
    </w:pPr>
  </w:style>
  <w:style w:type="paragraph" w:styleId="Ondertitel">
    <w:name w:val="Subtitle"/>
    <w:basedOn w:val="Standaard"/>
    <w:next w:val="Standaard"/>
    <w:link w:val="OndertitelChar"/>
    <w:uiPriority w:val="11"/>
    <w:qFormat/>
    <w:rsid w:val="00002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026B1"/>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2D00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0BC"/>
    <w:rPr>
      <w:rFonts w:ascii="Tahoma" w:hAnsi="Tahoma" w:cs="Tahoma"/>
      <w:sz w:val="16"/>
      <w:szCs w:val="16"/>
    </w:rPr>
  </w:style>
  <w:style w:type="character" w:styleId="Hyperlink">
    <w:name w:val="Hyperlink"/>
    <w:basedOn w:val="Standaardalinea-lettertype"/>
    <w:uiPriority w:val="99"/>
    <w:unhideWhenUsed/>
    <w:rsid w:val="009F244B"/>
    <w:rPr>
      <w:color w:val="0000FF" w:themeColor="hyperlink"/>
      <w:u w:val="single"/>
    </w:rPr>
  </w:style>
  <w:style w:type="character" w:styleId="GevolgdeHyperlink">
    <w:name w:val="FollowedHyperlink"/>
    <w:basedOn w:val="Standaardalinea-lettertype"/>
    <w:uiPriority w:val="99"/>
    <w:semiHidden/>
    <w:unhideWhenUsed/>
    <w:rsid w:val="00CD22E6"/>
    <w:rPr>
      <w:color w:val="800080" w:themeColor="followedHyperlink"/>
      <w:u w:val="single"/>
    </w:rPr>
  </w:style>
  <w:style w:type="paragraph" w:styleId="Koptekst">
    <w:name w:val="header"/>
    <w:basedOn w:val="Standaard"/>
    <w:link w:val="KoptekstChar"/>
    <w:uiPriority w:val="99"/>
    <w:unhideWhenUsed/>
    <w:rsid w:val="005335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351E"/>
  </w:style>
  <w:style w:type="paragraph" w:styleId="Voettekst">
    <w:name w:val="footer"/>
    <w:basedOn w:val="Standaard"/>
    <w:link w:val="VoettekstChar"/>
    <w:uiPriority w:val="99"/>
    <w:unhideWhenUsed/>
    <w:rsid w:val="005335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351E"/>
  </w:style>
  <w:style w:type="paragraph" w:customStyle="1" w:styleId="basis">
    <w:name w:val="basis"/>
    <w:basedOn w:val="Standaard"/>
    <w:autoRedefine/>
    <w:rsid w:val="00501E92"/>
    <w:pPr>
      <w:spacing w:after="120" w:line="280" w:lineRule="exact"/>
    </w:pPr>
    <w:rPr>
      <w:rFonts w:ascii="Verdana" w:eastAsia="Times New Roman" w:hAnsi="Verdana" w:cs="Times New Roman"/>
      <w:b/>
      <w:sz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6574">
      <w:bodyDiv w:val="1"/>
      <w:marLeft w:val="0"/>
      <w:marRight w:val="0"/>
      <w:marTop w:val="0"/>
      <w:marBottom w:val="0"/>
      <w:divBdr>
        <w:top w:val="none" w:sz="0" w:space="0" w:color="auto"/>
        <w:left w:val="none" w:sz="0" w:space="0" w:color="auto"/>
        <w:bottom w:val="none" w:sz="0" w:space="0" w:color="auto"/>
        <w:right w:val="none" w:sz="0" w:space="0" w:color="auto"/>
      </w:divBdr>
    </w:div>
    <w:div w:id="1960212776">
      <w:bodyDiv w:val="1"/>
      <w:marLeft w:val="0"/>
      <w:marRight w:val="0"/>
      <w:marTop w:val="0"/>
      <w:marBottom w:val="0"/>
      <w:divBdr>
        <w:top w:val="none" w:sz="0" w:space="0" w:color="auto"/>
        <w:left w:val="none" w:sz="0" w:space="0" w:color="auto"/>
        <w:bottom w:val="none" w:sz="0" w:space="0" w:color="auto"/>
        <w:right w:val="none" w:sz="0" w:space="0" w:color="auto"/>
      </w:divBdr>
      <w:divsChild>
        <w:div w:id="931205885">
          <w:marLeft w:val="0"/>
          <w:marRight w:val="0"/>
          <w:marTop w:val="0"/>
          <w:marBottom w:val="0"/>
          <w:divBdr>
            <w:top w:val="none" w:sz="0" w:space="0" w:color="auto"/>
            <w:left w:val="single" w:sz="12" w:space="0" w:color="003399"/>
            <w:bottom w:val="none" w:sz="0" w:space="0" w:color="auto"/>
            <w:right w:val="single" w:sz="12" w:space="0" w:color="003399"/>
          </w:divBdr>
          <w:divsChild>
            <w:div w:id="732000002">
              <w:marLeft w:val="0"/>
              <w:marRight w:val="0"/>
              <w:marTop w:val="0"/>
              <w:marBottom w:val="0"/>
              <w:divBdr>
                <w:top w:val="single" w:sz="12" w:space="0" w:color="C2D5E5"/>
                <w:left w:val="none" w:sz="0" w:space="0" w:color="auto"/>
                <w:bottom w:val="none" w:sz="0" w:space="0" w:color="auto"/>
                <w:right w:val="none" w:sz="0" w:space="0" w:color="auto"/>
              </w:divBdr>
              <w:divsChild>
                <w:div w:id="581911845">
                  <w:marLeft w:val="0"/>
                  <w:marRight w:val="0"/>
                  <w:marTop w:val="0"/>
                  <w:marBottom w:val="0"/>
                  <w:divBdr>
                    <w:top w:val="none" w:sz="0" w:space="0" w:color="auto"/>
                    <w:left w:val="none" w:sz="0" w:space="0" w:color="auto"/>
                    <w:bottom w:val="none" w:sz="0" w:space="0" w:color="auto"/>
                    <w:right w:val="none" w:sz="0" w:space="0" w:color="auto"/>
                  </w:divBdr>
                  <w:divsChild>
                    <w:div w:id="1567717899">
                      <w:marLeft w:val="75"/>
                      <w:marRight w:val="75"/>
                      <w:marTop w:val="75"/>
                      <w:marBottom w:val="75"/>
                      <w:divBdr>
                        <w:top w:val="none" w:sz="0" w:space="0" w:color="auto"/>
                        <w:left w:val="none" w:sz="0" w:space="0" w:color="auto"/>
                        <w:bottom w:val="none" w:sz="0" w:space="0" w:color="auto"/>
                        <w:right w:val="none" w:sz="0" w:space="0" w:color="auto"/>
                      </w:divBdr>
                      <w:divsChild>
                        <w:div w:id="1060983386">
                          <w:marLeft w:val="0"/>
                          <w:marRight w:val="0"/>
                          <w:marTop w:val="0"/>
                          <w:marBottom w:val="0"/>
                          <w:divBdr>
                            <w:top w:val="none" w:sz="0" w:space="0" w:color="auto"/>
                            <w:left w:val="none" w:sz="0" w:space="0" w:color="auto"/>
                            <w:bottom w:val="none" w:sz="0" w:space="0" w:color="auto"/>
                            <w:right w:val="none" w:sz="0" w:space="0" w:color="auto"/>
                          </w:divBdr>
                          <w:divsChild>
                            <w:div w:id="3560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euskillspanorama.cedefop.europa.eu/AnalyticalHighligh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ecd.org/edu/skills-beyond-school/skillsbeyondschool.htm" TargetMode="External"/><Relationship Id="rId2" Type="http://schemas.openxmlformats.org/officeDocument/2006/relationships/customXml" Target="../customXml/item2.xml"/><Relationship Id="rId16" Type="http://schemas.openxmlformats.org/officeDocument/2006/relationships/hyperlink" Target="http://ec.europa.eu/social/main.jsp?catId=5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unec.eu/sites/www.eunec.eu/files/attachment/files/doc_003_report_lisbon.pdf"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QM5P4ZDXZJVS-292-4240</_dlc_DocId>
    <_dlc_DocIdUrl xmlns="ca35f6fb-1165-4b91-a168-522f87563d43">
      <Url>http://vlor05/eunec/_layouts/DocIdRedir.aspx?ID=QM5P4ZDXZJVS-292-4240</Url>
      <Description>QM5P4ZDXZJVS-292-4240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13FA9F86F07527429109D07386E5939100F0498CCF9F1B1441A524A0F8180C6C8B" ma:contentTypeVersion="1" ma:contentTypeDescription="" ma:contentTypeScope="" ma:versionID="e6bb62c89785164298b16ad0eac729e9">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B845-7A1A-41AE-92A4-B88172A9597E}"/>
</file>

<file path=customXml/itemProps2.xml><?xml version="1.0" encoding="utf-8"?>
<ds:datastoreItem xmlns:ds="http://schemas.openxmlformats.org/officeDocument/2006/customXml" ds:itemID="{D5D51BE5-C0D7-414C-A728-E67911C4A40E}"/>
</file>

<file path=customXml/itemProps3.xml><?xml version="1.0" encoding="utf-8"?>
<ds:datastoreItem xmlns:ds="http://schemas.openxmlformats.org/officeDocument/2006/customXml" ds:itemID="{02643595-8BDF-4671-9CAC-1E81C952F709}"/>
</file>

<file path=customXml/itemProps4.xml><?xml version="1.0" encoding="utf-8"?>
<ds:datastoreItem xmlns:ds="http://schemas.openxmlformats.org/officeDocument/2006/customXml" ds:itemID="{FFEC23DC-D8DB-4F5E-9250-E0B1DD4BFA4F}"/>
</file>

<file path=customXml/itemProps5.xml><?xml version="1.0" encoding="utf-8"?>
<ds:datastoreItem xmlns:ds="http://schemas.openxmlformats.org/officeDocument/2006/customXml" ds:itemID="{5E12CC3B-4330-4BD7-A6F9-729F283709A2}"/>
</file>

<file path=docProps/app.xml><?xml version="1.0" encoding="utf-8"?>
<Properties xmlns="http://schemas.openxmlformats.org/officeDocument/2006/extended-properties" xmlns:vt="http://schemas.openxmlformats.org/officeDocument/2006/docPropsVTypes">
  <Template>Normal</Template>
  <TotalTime>127</TotalTime>
  <Pages>5</Pages>
  <Words>1514</Words>
  <Characters>8333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first announcement EUNEC</vt:lpstr>
    </vt:vector>
  </TitlesOfParts>
  <Company>Microsoft</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announcement EUNEC</dc:title>
  <dc:creator>rhe</dc:creator>
  <cp:lastModifiedBy>Carine De Smet</cp:lastModifiedBy>
  <cp:revision>15</cp:revision>
  <cp:lastPrinted>2014-10-13T07:26:00Z</cp:lastPrinted>
  <dcterms:created xsi:type="dcterms:W3CDTF">2014-09-12T07:30:00Z</dcterms:created>
  <dcterms:modified xsi:type="dcterms:W3CDTF">2014-10-13T15:18:00Z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0x01010013FA9F86F07527429109D07386E5939100F0498CCF9F1B1441A524A0F8180C6C8B</vt:lpwstr>
  </property>
  <property fmtid="{D5CDD505-2E9C-101B-9397-08002B2CF9AE}" pid="3" name="_dlc_DocIdItemGuid">
    <vt:lpwstr>1f436f8d-4bde-4f23-9cc1-0ca9cbdbbed2</vt:lpwstr>
  </property>
</Properties>
</file>