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1A97" w14:textId="77777777" w:rsidR="00245496" w:rsidRDefault="00245496" w:rsidP="00CF33EC">
      <w:pPr>
        <w:pStyle w:val="Titel"/>
      </w:pPr>
      <w:r w:rsidRPr="00946161">
        <w:t>Main Policy Lines in Education and Training</w:t>
      </w:r>
    </w:p>
    <w:p w14:paraId="5824CD20" w14:textId="10E7E66A" w:rsidR="009A2516" w:rsidRPr="009A2516" w:rsidRDefault="00245496" w:rsidP="008819A5">
      <w:pPr>
        <w:pStyle w:val="Titel"/>
      </w:pPr>
      <w:r w:rsidRPr="00CD5B79">
        <w:t>(</w:t>
      </w:r>
      <w:r w:rsidR="007F0DAB">
        <w:t>March - April</w:t>
      </w:r>
      <w:r w:rsidR="008F0B76">
        <w:t xml:space="preserve"> 2016</w:t>
      </w:r>
      <w:r w:rsidR="006D0D65">
        <w:t>)</w:t>
      </w:r>
      <w:bookmarkStart w:id="0" w:name="_GoBack"/>
      <w:bookmarkEnd w:id="0"/>
    </w:p>
    <w:p w14:paraId="16732424" w14:textId="210771FB" w:rsidR="009A2516" w:rsidRPr="000D57A1" w:rsidRDefault="000D57A1" w:rsidP="008819A5">
      <w:pPr>
        <w:pStyle w:val="Lijstalinea"/>
        <w:keepNext/>
        <w:keepLines/>
        <w:spacing w:before="240" w:after="240" w:line="280" w:lineRule="exact"/>
        <w:ind w:left="3204" w:firstLine="336"/>
        <w:rPr>
          <w:rFonts w:ascii="Verdana" w:eastAsia="Times New Roman" w:hAnsi="Verdana" w:cs="Times New Roman"/>
          <w:b/>
          <w:color w:val="808080"/>
          <w:kern w:val="28"/>
          <w:sz w:val="28"/>
          <w:szCs w:val="20"/>
          <w:lang w:val="en-GB" w:eastAsia="nl-NL"/>
        </w:rPr>
      </w:pPr>
      <w:r>
        <w:rPr>
          <w:rFonts w:ascii="Verdana" w:eastAsia="Times New Roman" w:hAnsi="Verdana" w:cs="Times New Roman"/>
          <w:b/>
          <w:color w:val="808080"/>
          <w:kern w:val="28"/>
          <w:sz w:val="28"/>
          <w:szCs w:val="20"/>
          <w:lang w:val="en-GB" w:eastAsia="nl-NL"/>
        </w:rPr>
        <w:t>OECD</w:t>
      </w:r>
    </w:p>
    <w:p w14:paraId="5A3E27AF" w14:textId="01BA594F" w:rsidR="009A2516" w:rsidRPr="009A2516" w:rsidRDefault="009A2516" w:rsidP="008819A5">
      <w:pPr>
        <w:pStyle w:val="Kop1"/>
        <w:numPr>
          <w:ilvl w:val="0"/>
          <w:numId w:val="0"/>
        </w:numPr>
      </w:pPr>
      <w:r w:rsidRPr="009A2516">
        <w:t>Governing education in a complex world</w:t>
      </w:r>
    </w:p>
    <w:p w14:paraId="1D853DAB" w14:textId="77777777" w:rsidR="009A2516" w:rsidRPr="009A2516" w:rsidRDefault="009A2516" w:rsidP="009A2516">
      <w:pPr>
        <w:tabs>
          <w:tab w:val="left" w:pos="3090"/>
        </w:tabs>
        <w:rPr>
          <w:lang w:val="en-GB" w:eastAsia="nl-NL"/>
        </w:rPr>
      </w:pPr>
      <w:r w:rsidRPr="009A2516">
        <w:rPr>
          <w:lang w:val="en-GB" w:eastAsia="nl-NL"/>
        </w:rPr>
        <w:t>12 April 2016</w:t>
      </w:r>
    </w:p>
    <w:p w14:paraId="1B9B7B7A" w14:textId="2FEC4F56" w:rsidR="009A2516" w:rsidRPr="009A2516" w:rsidRDefault="009A2516" w:rsidP="004A4C65">
      <w:pPr>
        <w:tabs>
          <w:tab w:val="left" w:pos="3090"/>
        </w:tabs>
        <w:jc w:val="both"/>
        <w:rPr>
          <w:lang w:val="en-GB" w:eastAsia="nl-NL"/>
        </w:rPr>
      </w:pPr>
      <w:r w:rsidRPr="009A2516">
        <w:rPr>
          <w:lang w:val="en-GB" w:eastAsia="nl-NL"/>
        </w:rPr>
        <w:t>This publication brings together research and insights from country experience to identify the elements necessary for effective education governance. It tries to find an answer to the following questions: What models of governance ar</w:t>
      </w:r>
      <w:r w:rsidR="004A4C65">
        <w:rPr>
          <w:lang w:val="en-GB" w:eastAsia="nl-NL"/>
        </w:rPr>
        <w:t>e</w:t>
      </w:r>
      <w:r w:rsidRPr="009A2516">
        <w:rPr>
          <w:lang w:val="en-GB" w:eastAsia="nl-NL"/>
        </w:rPr>
        <w:t xml:space="preserve"> effective in complex ed</w:t>
      </w:r>
      <w:r w:rsidR="00F5483B">
        <w:rPr>
          <w:lang w:val="en-GB" w:eastAsia="nl-NL"/>
        </w:rPr>
        <w:t>ucation systems? How can govern</w:t>
      </w:r>
      <w:r w:rsidRPr="009A2516">
        <w:rPr>
          <w:lang w:val="en-GB" w:eastAsia="nl-NL"/>
        </w:rPr>
        <w:t xml:space="preserve">ments set priorities and design policies that balance responsiveness to local diversity with national education goals? How do we ensure that there is trust, cooperation and communication between the multiple levels and actors in the system? Modern education governance must be flexible and at the same time steer a clear course towards established goals; it must also be efficient, limited by funds and time. </w:t>
      </w:r>
    </w:p>
    <w:p w14:paraId="36DCAD32" w14:textId="77777777" w:rsidR="009A2516" w:rsidRPr="009A2516" w:rsidRDefault="009A2516" w:rsidP="004A4C65">
      <w:pPr>
        <w:tabs>
          <w:tab w:val="left" w:pos="3090"/>
        </w:tabs>
        <w:jc w:val="both"/>
        <w:rPr>
          <w:lang w:val="en-GB" w:eastAsia="nl-NL"/>
        </w:rPr>
      </w:pPr>
      <w:r w:rsidRPr="009A2516">
        <w:rPr>
          <w:lang w:val="en-GB" w:eastAsia="nl-NL"/>
        </w:rPr>
        <w:t>Some key elements are identified:</w:t>
      </w:r>
    </w:p>
    <w:p w14:paraId="4AED21A4" w14:textId="3D4E9A72" w:rsidR="009A2516" w:rsidRPr="009A2516" w:rsidRDefault="009A2516" w:rsidP="004A4C65">
      <w:pPr>
        <w:numPr>
          <w:ilvl w:val="0"/>
          <w:numId w:val="31"/>
        </w:numPr>
        <w:tabs>
          <w:tab w:val="left" w:pos="3090"/>
        </w:tabs>
        <w:jc w:val="both"/>
        <w:rPr>
          <w:lang w:val="en-GB" w:eastAsia="nl-NL"/>
        </w:rPr>
      </w:pPr>
      <w:r w:rsidRPr="009A2516">
        <w:rPr>
          <w:lang w:val="en-GB" w:eastAsia="nl-NL"/>
        </w:rPr>
        <w:t xml:space="preserve">Engage with stakeholders at all levels in the governance process to strengthen participatory decision-making; be careful with new </w:t>
      </w:r>
      <w:r w:rsidR="00F5483B" w:rsidRPr="009A2516">
        <w:rPr>
          <w:lang w:val="en-GB" w:eastAsia="nl-NL"/>
        </w:rPr>
        <w:t>technologies that</w:t>
      </w:r>
      <w:r w:rsidRPr="009A2516">
        <w:rPr>
          <w:lang w:val="en-GB" w:eastAsia="nl-NL"/>
        </w:rPr>
        <w:t xml:space="preserve"> allo</w:t>
      </w:r>
      <w:r w:rsidR="004A4C65">
        <w:rPr>
          <w:lang w:val="en-GB" w:eastAsia="nl-NL"/>
        </w:rPr>
        <w:t>w</w:t>
      </w:r>
      <w:r w:rsidRPr="009A2516">
        <w:rPr>
          <w:lang w:val="en-GB" w:eastAsia="nl-NL"/>
        </w:rPr>
        <w:t xml:space="preserve"> to engage more actors, but, at the same time, bring new challenges: instant feedback can mean that expectations rise faster than performance, and lead to short-term solutions rather than to long-term vision.</w:t>
      </w:r>
    </w:p>
    <w:p w14:paraId="06307F8D" w14:textId="18624E49" w:rsidR="009A2516" w:rsidRPr="009A2516" w:rsidRDefault="004A4C65" w:rsidP="004A4C65">
      <w:pPr>
        <w:numPr>
          <w:ilvl w:val="0"/>
          <w:numId w:val="31"/>
        </w:numPr>
        <w:tabs>
          <w:tab w:val="left" w:pos="3090"/>
        </w:tabs>
        <w:jc w:val="both"/>
        <w:rPr>
          <w:lang w:val="en-GB" w:eastAsia="nl-NL"/>
        </w:rPr>
      </w:pPr>
      <w:r>
        <w:rPr>
          <w:lang w:val="en-GB" w:eastAsia="nl-NL"/>
        </w:rPr>
        <w:t>Try</w:t>
      </w:r>
      <w:r w:rsidR="009A2516" w:rsidRPr="009A2516">
        <w:rPr>
          <w:lang w:val="en-GB" w:eastAsia="nl-NL"/>
        </w:rPr>
        <w:t xml:space="preserve"> to find the balance (or, better, the right combination of </w:t>
      </w:r>
      <w:r w:rsidRPr="009A2516">
        <w:rPr>
          <w:lang w:val="en-GB" w:eastAsia="nl-NL"/>
        </w:rPr>
        <w:t>mutual</w:t>
      </w:r>
      <w:r w:rsidR="009A2516" w:rsidRPr="009A2516">
        <w:rPr>
          <w:lang w:val="en-GB" w:eastAsia="nl-NL"/>
        </w:rPr>
        <w:t xml:space="preserve"> reinforcing dynamics) between constructive accountability (tends to minimise risks to improve efficiency) and dynamic innovation processes (where trial and error are fundamental).</w:t>
      </w:r>
    </w:p>
    <w:p w14:paraId="0D99F814" w14:textId="77777777" w:rsidR="009A2516" w:rsidRPr="009A2516" w:rsidRDefault="009A2516" w:rsidP="004A4C65">
      <w:pPr>
        <w:numPr>
          <w:ilvl w:val="0"/>
          <w:numId w:val="31"/>
        </w:numPr>
        <w:tabs>
          <w:tab w:val="left" w:pos="3090"/>
        </w:tabs>
        <w:jc w:val="both"/>
        <w:rPr>
          <w:lang w:val="en-GB" w:eastAsia="nl-NL"/>
        </w:rPr>
      </w:pPr>
      <w:r w:rsidRPr="009A2516">
        <w:rPr>
          <w:lang w:val="en-GB" w:eastAsia="nl-NL"/>
        </w:rPr>
        <w:t>Think about the individuals involved (the teacher, the principal, the student, the parent): without the right capacity and support, any policy risks being derailed at the level where it counts most: the classroom.</w:t>
      </w:r>
    </w:p>
    <w:p w14:paraId="66CEBF0D" w14:textId="77777777" w:rsidR="009A2516" w:rsidRPr="009A2516" w:rsidRDefault="009A2516" w:rsidP="004A4C65">
      <w:pPr>
        <w:tabs>
          <w:tab w:val="left" w:pos="3090"/>
        </w:tabs>
        <w:jc w:val="both"/>
        <w:rPr>
          <w:lang w:val="nl-BE" w:eastAsia="nl-NL"/>
        </w:rPr>
      </w:pPr>
      <w:r w:rsidRPr="009A2516">
        <w:rPr>
          <w:lang w:val="nl-BE" w:eastAsia="nl-NL"/>
        </w:rPr>
        <w:t>Effective governance</w:t>
      </w:r>
    </w:p>
    <w:p w14:paraId="248440DF" w14:textId="77777777" w:rsidR="009A2516" w:rsidRPr="004A4C65" w:rsidRDefault="009A2516" w:rsidP="004A4C65">
      <w:pPr>
        <w:pStyle w:val="Lijstalinea"/>
        <w:numPr>
          <w:ilvl w:val="0"/>
          <w:numId w:val="32"/>
        </w:numPr>
        <w:tabs>
          <w:tab w:val="left" w:pos="3090"/>
        </w:tabs>
        <w:jc w:val="both"/>
        <w:rPr>
          <w:lang w:val="en-GB" w:eastAsia="nl-NL"/>
        </w:rPr>
      </w:pPr>
      <w:r w:rsidRPr="004A4C65">
        <w:rPr>
          <w:lang w:val="en-GB" w:eastAsia="nl-NL"/>
        </w:rPr>
        <w:t>Focuses on processes, not on structures;</w:t>
      </w:r>
    </w:p>
    <w:p w14:paraId="00B97B1D" w14:textId="77777777" w:rsidR="009A2516" w:rsidRPr="004A4C65" w:rsidRDefault="009A2516" w:rsidP="004A4C65">
      <w:pPr>
        <w:pStyle w:val="Lijstalinea"/>
        <w:numPr>
          <w:ilvl w:val="0"/>
          <w:numId w:val="32"/>
        </w:numPr>
        <w:tabs>
          <w:tab w:val="left" w:pos="3090"/>
        </w:tabs>
        <w:jc w:val="both"/>
        <w:rPr>
          <w:lang w:val="en-GB" w:eastAsia="nl-NL"/>
        </w:rPr>
      </w:pPr>
      <w:r w:rsidRPr="004A4C65">
        <w:rPr>
          <w:lang w:val="en-GB" w:eastAsia="nl-NL"/>
        </w:rPr>
        <w:t>Is flexible and can adapt to unexpected events;</w:t>
      </w:r>
    </w:p>
    <w:p w14:paraId="66B4C1AD" w14:textId="77777777" w:rsidR="009A2516" w:rsidRPr="004A4C65" w:rsidRDefault="009A2516" w:rsidP="004A4C65">
      <w:pPr>
        <w:pStyle w:val="Lijstalinea"/>
        <w:numPr>
          <w:ilvl w:val="0"/>
          <w:numId w:val="32"/>
        </w:numPr>
        <w:tabs>
          <w:tab w:val="left" w:pos="3090"/>
        </w:tabs>
        <w:jc w:val="both"/>
        <w:rPr>
          <w:lang w:val="en-GB" w:eastAsia="nl-NL"/>
        </w:rPr>
      </w:pPr>
      <w:r w:rsidRPr="004A4C65">
        <w:rPr>
          <w:lang w:val="en-GB" w:eastAsia="nl-NL"/>
        </w:rPr>
        <w:t>Works through building capacity, stakeholder involvement and open dialogue;</w:t>
      </w:r>
    </w:p>
    <w:p w14:paraId="3F770841" w14:textId="77777777" w:rsidR="009A2516" w:rsidRPr="004A4C65" w:rsidRDefault="009A2516" w:rsidP="004A4C65">
      <w:pPr>
        <w:pStyle w:val="Lijstalinea"/>
        <w:numPr>
          <w:ilvl w:val="0"/>
          <w:numId w:val="32"/>
        </w:numPr>
        <w:tabs>
          <w:tab w:val="left" w:pos="3090"/>
        </w:tabs>
        <w:jc w:val="both"/>
        <w:rPr>
          <w:lang w:val="en-GB" w:eastAsia="nl-NL"/>
        </w:rPr>
      </w:pPr>
      <w:r w:rsidRPr="004A4C65">
        <w:rPr>
          <w:lang w:val="en-GB" w:eastAsia="nl-NL"/>
        </w:rPr>
        <w:t xml:space="preserve">Requires a whole system approach; </w:t>
      </w:r>
    </w:p>
    <w:p w14:paraId="548474F6" w14:textId="77777777" w:rsidR="009A2516" w:rsidRPr="004A4C65" w:rsidRDefault="009A2516" w:rsidP="004A4C65">
      <w:pPr>
        <w:pStyle w:val="Lijstalinea"/>
        <w:numPr>
          <w:ilvl w:val="0"/>
          <w:numId w:val="32"/>
        </w:numPr>
        <w:tabs>
          <w:tab w:val="left" w:pos="3090"/>
        </w:tabs>
        <w:jc w:val="both"/>
        <w:rPr>
          <w:lang w:val="nl-BE" w:eastAsia="nl-NL"/>
        </w:rPr>
      </w:pPr>
      <w:r w:rsidRPr="004A4C65">
        <w:rPr>
          <w:lang w:val="nl-BE" w:eastAsia="nl-NL"/>
        </w:rPr>
        <w:t>Harnesses evidence and research;</w:t>
      </w:r>
    </w:p>
    <w:p w14:paraId="7887E8EA" w14:textId="77777777" w:rsidR="009A2516" w:rsidRDefault="009A2516" w:rsidP="004A4C65">
      <w:pPr>
        <w:pStyle w:val="Lijstalinea"/>
        <w:numPr>
          <w:ilvl w:val="0"/>
          <w:numId w:val="32"/>
        </w:numPr>
        <w:tabs>
          <w:tab w:val="left" w:pos="3090"/>
        </w:tabs>
        <w:jc w:val="both"/>
        <w:rPr>
          <w:lang w:val="nl-BE" w:eastAsia="nl-NL"/>
        </w:rPr>
      </w:pPr>
      <w:r w:rsidRPr="004A4C65">
        <w:rPr>
          <w:lang w:val="nl-BE" w:eastAsia="nl-NL"/>
        </w:rPr>
        <w:t>Is built on trust.</w:t>
      </w:r>
    </w:p>
    <w:p w14:paraId="1916DA78" w14:textId="5267F62A" w:rsidR="004A4C65" w:rsidRPr="004A4C65" w:rsidRDefault="008819A5" w:rsidP="004A4C65">
      <w:pPr>
        <w:tabs>
          <w:tab w:val="left" w:pos="3090"/>
        </w:tabs>
        <w:jc w:val="both"/>
        <w:rPr>
          <w:lang w:val="nl-BE" w:eastAsia="nl-NL"/>
        </w:rPr>
      </w:pPr>
      <w:hyperlink r:id="rId12" w:history="1">
        <w:r w:rsidR="004A4C65" w:rsidRPr="004A4C65">
          <w:rPr>
            <w:rStyle w:val="Hyperlink"/>
            <w:lang w:val="nl-BE" w:eastAsia="nl-NL"/>
          </w:rPr>
          <w:t>Read more online</w:t>
        </w:r>
      </w:hyperlink>
      <w:r w:rsidR="004A4C65">
        <w:rPr>
          <w:lang w:val="nl-BE" w:eastAsia="nl-NL"/>
        </w:rPr>
        <w:t xml:space="preserve"> </w:t>
      </w:r>
    </w:p>
    <w:sectPr w:rsidR="004A4C65" w:rsidRPr="004A4C65" w:rsidSect="00CB238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7D78" w14:textId="77777777" w:rsidR="007916DD" w:rsidRDefault="007916DD" w:rsidP="00245496">
      <w:pPr>
        <w:spacing w:after="0" w:line="240" w:lineRule="auto"/>
      </w:pPr>
      <w:r>
        <w:separator/>
      </w:r>
    </w:p>
  </w:endnote>
  <w:endnote w:type="continuationSeparator" w:id="0">
    <w:p w14:paraId="6097214F" w14:textId="77777777" w:rsidR="007916DD" w:rsidRDefault="007916DD" w:rsidP="00245496">
      <w:pPr>
        <w:spacing w:after="0" w:line="240" w:lineRule="auto"/>
      </w:pPr>
      <w:r>
        <w:continuationSeparator/>
      </w:r>
    </w:p>
  </w:endnote>
  <w:endnote w:type="continuationNotice" w:id="1">
    <w:p w14:paraId="1F0CB3FA" w14:textId="77777777" w:rsidR="007916DD" w:rsidRDefault="00791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8819A5">
          <w:rPr>
            <w:noProof/>
          </w:rPr>
          <w:t>1</w:t>
        </w:r>
        <w:r>
          <w:fldChar w:fldCharType="end"/>
        </w:r>
      </w:p>
    </w:sdtContent>
  </w:sdt>
  <w:p w14:paraId="5BDC2ABD" w14:textId="77777777" w:rsidR="007916DD" w:rsidRDefault="007916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0357" w14:textId="77777777" w:rsidR="007916DD" w:rsidRDefault="007916DD" w:rsidP="00245496">
      <w:pPr>
        <w:spacing w:after="0" w:line="240" w:lineRule="auto"/>
      </w:pPr>
      <w:r>
        <w:separator/>
      </w:r>
    </w:p>
  </w:footnote>
  <w:footnote w:type="continuationSeparator" w:id="0">
    <w:p w14:paraId="4BC68206" w14:textId="77777777" w:rsidR="007916DD" w:rsidRDefault="007916DD" w:rsidP="00245496">
      <w:pPr>
        <w:spacing w:after="0" w:line="240" w:lineRule="auto"/>
      </w:pPr>
      <w:r>
        <w:continuationSeparator/>
      </w:r>
    </w:p>
  </w:footnote>
  <w:footnote w:type="continuationNotice" w:id="1">
    <w:p w14:paraId="0701FBB5" w14:textId="77777777" w:rsidR="007916DD" w:rsidRDefault="007916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8460" w14:textId="3EBA53C6" w:rsidR="007916DD" w:rsidRDefault="007916DD" w:rsidP="00245496">
    <w:pPr>
      <w:pStyle w:val="Koptekst"/>
    </w:pPr>
    <w:r>
      <w:rPr>
        <w:noProof/>
        <w:lang w:val="nl-BE" w:eastAsia="nl-BE"/>
      </w:rPr>
      <w:drawing>
        <wp:anchor distT="0" distB="0" distL="114300" distR="114300" simplePos="0" relativeHeight="251658240"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rsidR="007F0DAB">
      <w:t>EUN/GA/2016/DOC/022</w:t>
    </w:r>
  </w:p>
  <w:p w14:paraId="70DE29BE" w14:textId="768367B9" w:rsidR="007916DD" w:rsidRDefault="007F0DAB" w:rsidP="00245496">
    <w:pPr>
      <w:pStyle w:val="Koptekst"/>
    </w:pPr>
    <w:r>
      <w:t>29 May</w:t>
    </w:r>
    <w:r w:rsidR="007916DD">
      <w:t xml:space="preserve"> 2016</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B53"/>
    <w:multiLevelType w:val="hybridMultilevel"/>
    <w:tmpl w:val="CBA899FE"/>
    <w:lvl w:ilvl="0" w:tplc="70AE5D6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34F01"/>
    <w:multiLevelType w:val="hybridMultilevel"/>
    <w:tmpl w:val="4B6A8CE4"/>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2991F86"/>
    <w:multiLevelType w:val="hybridMultilevel"/>
    <w:tmpl w:val="3DE25738"/>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E3D2FC5"/>
    <w:multiLevelType w:val="hybridMultilevel"/>
    <w:tmpl w:val="C876F17C"/>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B1276A"/>
    <w:multiLevelType w:val="hybridMultilevel"/>
    <w:tmpl w:val="5C4072F8"/>
    <w:lvl w:ilvl="0" w:tplc="4C8E4F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5072AEB"/>
    <w:multiLevelType w:val="hybridMultilevel"/>
    <w:tmpl w:val="865CDCB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9926AB"/>
    <w:multiLevelType w:val="hybridMultilevel"/>
    <w:tmpl w:val="709CB26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713B7E"/>
    <w:multiLevelType w:val="hybridMultilevel"/>
    <w:tmpl w:val="074C4EB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BF6AF9"/>
    <w:multiLevelType w:val="hybridMultilevel"/>
    <w:tmpl w:val="5E183A5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CE092F"/>
    <w:multiLevelType w:val="hybridMultilevel"/>
    <w:tmpl w:val="0672BA74"/>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A246C3"/>
    <w:multiLevelType w:val="hybridMultilevel"/>
    <w:tmpl w:val="A9EC6C3A"/>
    <w:lvl w:ilvl="0" w:tplc="B1720394">
      <w:start w:val="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F1454D"/>
    <w:multiLevelType w:val="hybridMultilevel"/>
    <w:tmpl w:val="F17CB916"/>
    <w:lvl w:ilvl="0" w:tplc="33FCBD42">
      <w:start w:val="1"/>
      <w:numFmt w:val="bullet"/>
      <w:lvlText w:val=""/>
      <w:lvlJc w:val="left"/>
      <w:pPr>
        <w:ind w:left="720" w:hanging="360"/>
      </w:pPr>
      <w:rPr>
        <w:rFonts w:ascii="Symbol" w:hAnsi="Symbol" w:hint="default"/>
      </w:rPr>
    </w:lvl>
    <w:lvl w:ilvl="1" w:tplc="067C4048">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284252"/>
    <w:multiLevelType w:val="hybridMultilevel"/>
    <w:tmpl w:val="2FB461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E15979"/>
    <w:multiLevelType w:val="hybridMultilevel"/>
    <w:tmpl w:val="84A07EC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92473D"/>
    <w:multiLevelType w:val="hybridMultilevel"/>
    <w:tmpl w:val="40068D4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A7C1C42"/>
    <w:multiLevelType w:val="hybridMultilevel"/>
    <w:tmpl w:val="67C45FD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5C050B"/>
    <w:multiLevelType w:val="hybridMultilevel"/>
    <w:tmpl w:val="464A02A4"/>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FDB19A0"/>
    <w:multiLevelType w:val="multilevel"/>
    <w:tmpl w:val="E3082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1DC1352"/>
    <w:multiLevelType w:val="multilevel"/>
    <w:tmpl w:val="1362140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979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62647366"/>
    <w:multiLevelType w:val="hybridMultilevel"/>
    <w:tmpl w:val="D7E4040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2" w15:restartNumberingAfterBreak="0">
    <w:nsid w:val="68DA51C3"/>
    <w:multiLevelType w:val="hybridMultilevel"/>
    <w:tmpl w:val="E240614C"/>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07F0EC4"/>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3A27046"/>
    <w:multiLevelType w:val="hybridMultilevel"/>
    <w:tmpl w:val="051EC35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B63E39"/>
    <w:multiLevelType w:val="hybridMultilevel"/>
    <w:tmpl w:val="3D00955A"/>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7B2F1760"/>
    <w:multiLevelType w:val="hybridMultilevel"/>
    <w:tmpl w:val="DE1430B4"/>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1"/>
  </w:num>
  <w:num w:numId="4">
    <w:abstractNumId w:val="8"/>
  </w:num>
  <w:num w:numId="5">
    <w:abstractNumId w:val="26"/>
  </w:num>
  <w:num w:numId="6">
    <w:abstractNumId w:val="18"/>
  </w:num>
  <w:num w:numId="7">
    <w:abstractNumId w:val="2"/>
  </w:num>
  <w:num w:numId="8">
    <w:abstractNumId w:val="14"/>
  </w:num>
  <w:num w:numId="9">
    <w:abstractNumId w:val="18"/>
    <w:lvlOverride w:ilvl="0">
      <w:startOverride w:val="1"/>
    </w:lvlOverride>
  </w:num>
  <w:num w:numId="10">
    <w:abstractNumId w:val="15"/>
  </w:num>
  <w:num w:numId="11">
    <w:abstractNumId w:val="25"/>
  </w:num>
  <w:num w:numId="12">
    <w:abstractNumId w:val="12"/>
  </w:num>
  <w:num w:numId="13">
    <w:abstractNumId w:val="18"/>
    <w:lvlOverride w:ilvl="0">
      <w:startOverride w:val="3"/>
    </w:lvlOverride>
  </w:num>
  <w:num w:numId="14">
    <w:abstractNumId w:val="9"/>
  </w:num>
  <w:num w:numId="15">
    <w:abstractNumId w:val="18"/>
    <w:lvlOverride w:ilvl="0">
      <w:startOverride w:val="1"/>
    </w:lvlOverride>
  </w:num>
  <w:num w:numId="16">
    <w:abstractNumId w:val="22"/>
  </w:num>
  <w:num w:numId="17">
    <w:abstractNumId w:val="27"/>
  </w:num>
  <w:num w:numId="18">
    <w:abstractNumId w:val="4"/>
  </w:num>
  <w:num w:numId="19">
    <w:abstractNumId w:val="10"/>
  </w:num>
  <w:num w:numId="20">
    <w:abstractNumId w:val="0"/>
  </w:num>
  <w:num w:numId="21">
    <w:abstractNumId w:val="11"/>
  </w:num>
  <w:num w:numId="22">
    <w:abstractNumId w:val="5"/>
  </w:num>
  <w:num w:numId="23">
    <w:abstractNumId w:val="20"/>
  </w:num>
  <w:num w:numId="24">
    <w:abstractNumId w:val="6"/>
  </w:num>
  <w:num w:numId="25">
    <w:abstractNumId w:val="1"/>
  </w:num>
  <w:num w:numId="26">
    <w:abstractNumId w:val="7"/>
  </w:num>
  <w:num w:numId="27">
    <w:abstractNumId w:val="13"/>
  </w:num>
  <w:num w:numId="28">
    <w:abstractNumId w:val="24"/>
  </w:num>
  <w:num w:numId="29">
    <w:abstractNumId w:val="19"/>
  </w:num>
  <w:num w:numId="30">
    <w:abstractNumId w:val="19"/>
    <w:lvlOverride w:ilvl="0">
      <w:startOverride w:val="1"/>
    </w:lvlOverride>
  </w:num>
  <w:num w:numId="31">
    <w:abstractNumId w:val="16"/>
  </w:num>
  <w:num w:numId="3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001BF"/>
    <w:rsid w:val="00012261"/>
    <w:rsid w:val="00083891"/>
    <w:rsid w:val="000B408C"/>
    <w:rsid w:val="000C2C87"/>
    <w:rsid w:val="000D57A1"/>
    <w:rsid w:val="000E358C"/>
    <w:rsid w:val="000F31B0"/>
    <w:rsid w:val="000F6ECA"/>
    <w:rsid w:val="00103812"/>
    <w:rsid w:val="0011491E"/>
    <w:rsid w:val="001502CF"/>
    <w:rsid w:val="00153AA2"/>
    <w:rsid w:val="00157121"/>
    <w:rsid w:val="00180AB8"/>
    <w:rsid w:val="001D45EA"/>
    <w:rsid w:val="001E2116"/>
    <w:rsid w:val="002005BF"/>
    <w:rsid w:val="00245496"/>
    <w:rsid w:val="00252C66"/>
    <w:rsid w:val="00280FD9"/>
    <w:rsid w:val="002870B6"/>
    <w:rsid w:val="002A14CC"/>
    <w:rsid w:val="002A2F9C"/>
    <w:rsid w:val="002B415B"/>
    <w:rsid w:val="002E59EE"/>
    <w:rsid w:val="003072A4"/>
    <w:rsid w:val="00312605"/>
    <w:rsid w:val="00350088"/>
    <w:rsid w:val="00351AB2"/>
    <w:rsid w:val="00360EE8"/>
    <w:rsid w:val="00371B86"/>
    <w:rsid w:val="00375AF6"/>
    <w:rsid w:val="00384582"/>
    <w:rsid w:val="00393784"/>
    <w:rsid w:val="003F5B0E"/>
    <w:rsid w:val="004170F5"/>
    <w:rsid w:val="00423AAF"/>
    <w:rsid w:val="0043296E"/>
    <w:rsid w:val="00443D4E"/>
    <w:rsid w:val="00476EB1"/>
    <w:rsid w:val="00484017"/>
    <w:rsid w:val="004A4C65"/>
    <w:rsid w:val="004C0FCB"/>
    <w:rsid w:val="004C1E0D"/>
    <w:rsid w:val="004D59B3"/>
    <w:rsid w:val="004E4BC2"/>
    <w:rsid w:val="004F207E"/>
    <w:rsid w:val="004F2C25"/>
    <w:rsid w:val="004F6CA1"/>
    <w:rsid w:val="00501C8C"/>
    <w:rsid w:val="00502206"/>
    <w:rsid w:val="00544F23"/>
    <w:rsid w:val="00566E76"/>
    <w:rsid w:val="00577CE4"/>
    <w:rsid w:val="0058272D"/>
    <w:rsid w:val="0059064C"/>
    <w:rsid w:val="005C0624"/>
    <w:rsid w:val="005C52C9"/>
    <w:rsid w:val="005D1FA9"/>
    <w:rsid w:val="00610227"/>
    <w:rsid w:val="00616DC7"/>
    <w:rsid w:val="0064135E"/>
    <w:rsid w:val="00652207"/>
    <w:rsid w:val="006559B1"/>
    <w:rsid w:val="00665881"/>
    <w:rsid w:val="00691CD6"/>
    <w:rsid w:val="006D0D65"/>
    <w:rsid w:val="006E2592"/>
    <w:rsid w:val="00702EF8"/>
    <w:rsid w:val="007037E9"/>
    <w:rsid w:val="00707197"/>
    <w:rsid w:val="0072116E"/>
    <w:rsid w:val="007916DD"/>
    <w:rsid w:val="007A4137"/>
    <w:rsid w:val="007B166F"/>
    <w:rsid w:val="007B6B64"/>
    <w:rsid w:val="007E2BF5"/>
    <w:rsid w:val="007F09DE"/>
    <w:rsid w:val="007F0DAB"/>
    <w:rsid w:val="008003FA"/>
    <w:rsid w:val="00816FDD"/>
    <w:rsid w:val="0082114C"/>
    <w:rsid w:val="0083516D"/>
    <w:rsid w:val="00873F0B"/>
    <w:rsid w:val="008819A5"/>
    <w:rsid w:val="008A59C4"/>
    <w:rsid w:val="008B51B4"/>
    <w:rsid w:val="008D7BAD"/>
    <w:rsid w:val="008F0B76"/>
    <w:rsid w:val="009473A8"/>
    <w:rsid w:val="00950233"/>
    <w:rsid w:val="00953C92"/>
    <w:rsid w:val="00954862"/>
    <w:rsid w:val="00970D28"/>
    <w:rsid w:val="00975A29"/>
    <w:rsid w:val="00981548"/>
    <w:rsid w:val="009A133F"/>
    <w:rsid w:val="009A2516"/>
    <w:rsid w:val="009C4A23"/>
    <w:rsid w:val="009D0BD2"/>
    <w:rsid w:val="00A05AC0"/>
    <w:rsid w:val="00A22EA7"/>
    <w:rsid w:val="00A342DB"/>
    <w:rsid w:val="00A57789"/>
    <w:rsid w:val="00A767AE"/>
    <w:rsid w:val="00A82454"/>
    <w:rsid w:val="00A973A6"/>
    <w:rsid w:val="00AB322A"/>
    <w:rsid w:val="00AC04B2"/>
    <w:rsid w:val="00AC5644"/>
    <w:rsid w:val="00AD4976"/>
    <w:rsid w:val="00B067D8"/>
    <w:rsid w:val="00B67126"/>
    <w:rsid w:val="00B873C2"/>
    <w:rsid w:val="00B87F95"/>
    <w:rsid w:val="00C16E2F"/>
    <w:rsid w:val="00C170C0"/>
    <w:rsid w:val="00C2654E"/>
    <w:rsid w:val="00C27562"/>
    <w:rsid w:val="00C551AA"/>
    <w:rsid w:val="00C77F18"/>
    <w:rsid w:val="00C82266"/>
    <w:rsid w:val="00C83E57"/>
    <w:rsid w:val="00CA24B9"/>
    <w:rsid w:val="00CB2387"/>
    <w:rsid w:val="00CD5B79"/>
    <w:rsid w:val="00CE4F98"/>
    <w:rsid w:val="00CF33EC"/>
    <w:rsid w:val="00D01F70"/>
    <w:rsid w:val="00D020C9"/>
    <w:rsid w:val="00D4036E"/>
    <w:rsid w:val="00D40E70"/>
    <w:rsid w:val="00D6276E"/>
    <w:rsid w:val="00D70DC4"/>
    <w:rsid w:val="00D75587"/>
    <w:rsid w:val="00D80D5B"/>
    <w:rsid w:val="00DA0BEC"/>
    <w:rsid w:val="00DB5C3F"/>
    <w:rsid w:val="00DE4821"/>
    <w:rsid w:val="00DF2FB8"/>
    <w:rsid w:val="00DF6A46"/>
    <w:rsid w:val="00E3019A"/>
    <w:rsid w:val="00E344F9"/>
    <w:rsid w:val="00E44461"/>
    <w:rsid w:val="00E90D9E"/>
    <w:rsid w:val="00EC024C"/>
    <w:rsid w:val="00F112E1"/>
    <w:rsid w:val="00F22042"/>
    <w:rsid w:val="00F266BE"/>
    <w:rsid w:val="00F328B6"/>
    <w:rsid w:val="00F41FED"/>
    <w:rsid w:val="00F5483B"/>
    <w:rsid w:val="00F70054"/>
    <w:rsid w:val="00F74945"/>
    <w:rsid w:val="00F96A8F"/>
    <w:rsid w:val="00FB4B33"/>
    <w:rsid w:val="00FB7FC3"/>
    <w:rsid w:val="00FC55B6"/>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387"/>
  </w:style>
  <w:style w:type="paragraph" w:styleId="Kop1">
    <w:name w:val="heading 1"/>
    <w:basedOn w:val="Standaard"/>
    <w:next w:val="Standaard"/>
    <w:link w:val="Kop1Char"/>
    <w:uiPriority w:val="9"/>
    <w:qFormat/>
    <w:rsid w:val="00245496"/>
    <w:pPr>
      <w:keepNext/>
      <w:keepLines/>
      <w:numPr>
        <w:numId w:val="29"/>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CD5B79"/>
    <w:pPr>
      <w:keepNext/>
      <w:keepLines/>
      <w:numPr>
        <w:ilvl w:val="2"/>
        <w:numId w:val="29"/>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29"/>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29"/>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29"/>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CD5B79"/>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3"/>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ecd-ilibrary.org/education/governing-education-in-a-complex-world_9789264255364-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QM5P4ZDXZJVS-288-4807</_dlc_DocId>
    <_dlc_DocIdUrl xmlns="ca35f6fb-1165-4b91-a168-522f87563d43">
      <Url>http://vlor05/eunec/_layouts/DocIdRedir.aspx?ID=QM5P4ZDXZJVS-288-4807</Url>
      <Description>QM5P4ZDXZJVS-288-4807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5B425-94FE-4B49-84DB-E9F84E599562}">
  <ds:schemaRefs>
    <ds:schemaRef ds:uri="http://schemas.microsoft.com/office/2006/metadata/properties"/>
    <ds:schemaRef ds:uri="ca35f6fb-1165-4b91-a168-522f87563d4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4.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5.xml><?xml version="1.0" encoding="utf-8"?>
<ds:datastoreItem xmlns:ds="http://schemas.openxmlformats.org/officeDocument/2006/customXml" ds:itemID="{F32AEACB-E839-413A-AB99-3CFC834F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2015-09-10T08:39:00Z</cp:lastPrinted>
  <dcterms:created xsi:type="dcterms:W3CDTF">2016-08-09T09:10:00Z</dcterms:created>
  <dcterms:modified xsi:type="dcterms:W3CDTF">2016-08-09T09:10:00Z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ccc30a63-0d95-4ea3-8c9b-3e2e3b59fbc8</vt:lpwstr>
  </property>
</Properties>
</file>