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695" w:rsidRDefault="00315695" w:rsidP="00315695">
      <w:pPr>
        <w:pStyle w:val="Titel"/>
        <w:rPr>
          <w:lang w:val="en-US"/>
        </w:rPr>
      </w:pPr>
    </w:p>
    <w:p w:rsidR="00315695" w:rsidRDefault="00315695" w:rsidP="00315695">
      <w:r>
        <w:rPr>
          <w:noProof/>
          <w:lang w:val="nl-BE" w:eastAsia="nl-BE"/>
        </w:rPr>
        <w:drawing>
          <wp:anchor distT="0" distB="0" distL="114300" distR="114300" simplePos="0" relativeHeight="251659264" behindDoc="0" locked="0" layoutInCell="1" allowOverlap="1">
            <wp:simplePos x="0" y="0"/>
            <wp:positionH relativeFrom="column">
              <wp:posOffset>1910080</wp:posOffset>
            </wp:positionH>
            <wp:positionV relativeFrom="paragraph">
              <wp:posOffset>17780</wp:posOffset>
            </wp:positionV>
            <wp:extent cx="2057400" cy="1485900"/>
            <wp:effectExtent l="0" t="0" r="0" b="0"/>
            <wp:wrapNone/>
            <wp:docPr id="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5" cstate="print"/>
                    <a:srcRect/>
                    <a:stretch>
                      <a:fillRect/>
                    </a:stretch>
                  </pic:blipFill>
                  <pic:spPr bwMode="auto">
                    <a:xfrm>
                      <a:off x="0" y="0"/>
                      <a:ext cx="2057400" cy="1485900"/>
                    </a:xfrm>
                    <a:prstGeom prst="rect">
                      <a:avLst/>
                    </a:prstGeom>
                    <a:noFill/>
                  </pic:spPr>
                </pic:pic>
              </a:graphicData>
            </a:graphic>
          </wp:anchor>
        </w:drawing>
      </w:r>
    </w:p>
    <w:tbl>
      <w:tblPr>
        <w:tblW w:w="0" w:type="auto"/>
        <w:tblInd w:w="2" w:type="dxa"/>
        <w:tblCellMar>
          <w:left w:w="0" w:type="dxa"/>
          <w:right w:w="0" w:type="dxa"/>
        </w:tblCellMar>
        <w:tblLook w:val="0000"/>
      </w:tblPr>
      <w:tblGrid>
        <w:gridCol w:w="1567"/>
        <w:gridCol w:w="1490"/>
        <w:gridCol w:w="2113"/>
        <w:gridCol w:w="3900"/>
      </w:tblGrid>
      <w:tr w:rsidR="00315695" w:rsidTr="00245A0D">
        <w:trPr>
          <w:cantSplit/>
          <w:trHeight w:hRule="exact" w:val="1531"/>
          <w:tblHeader/>
        </w:trPr>
        <w:tc>
          <w:tcPr>
            <w:tcW w:w="2268" w:type="dxa"/>
          </w:tcPr>
          <w:p w:rsidR="00315695" w:rsidRDefault="00315695" w:rsidP="00245A0D"/>
        </w:tc>
        <w:tc>
          <w:tcPr>
            <w:tcW w:w="2156" w:type="dxa"/>
          </w:tcPr>
          <w:p w:rsidR="00315695" w:rsidRDefault="00315695" w:rsidP="00245A0D"/>
        </w:tc>
        <w:tc>
          <w:tcPr>
            <w:tcW w:w="3060" w:type="dxa"/>
          </w:tcPr>
          <w:p w:rsidR="00315695" w:rsidRDefault="00315695" w:rsidP="00245A0D"/>
        </w:tc>
        <w:tc>
          <w:tcPr>
            <w:tcW w:w="2352" w:type="dxa"/>
          </w:tcPr>
          <w:tbl>
            <w:tblPr>
              <w:tblW w:w="0" w:type="auto"/>
              <w:tblCellMar>
                <w:left w:w="0" w:type="dxa"/>
                <w:right w:w="0" w:type="dxa"/>
              </w:tblCellMar>
              <w:tblLook w:val="0000"/>
            </w:tblPr>
            <w:tblGrid>
              <w:gridCol w:w="900"/>
              <w:gridCol w:w="855"/>
              <w:gridCol w:w="1212"/>
              <w:gridCol w:w="933"/>
            </w:tblGrid>
            <w:tr w:rsidR="00315695" w:rsidTr="00245A0D">
              <w:trPr>
                <w:cantSplit/>
                <w:trHeight w:hRule="exact" w:val="1531"/>
                <w:tblHeader/>
              </w:trPr>
              <w:tc>
                <w:tcPr>
                  <w:tcW w:w="2268" w:type="dxa"/>
                </w:tcPr>
                <w:p w:rsidR="00315695" w:rsidRDefault="00315695" w:rsidP="00245A0D"/>
              </w:tc>
              <w:tc>
                <w:tcPr>
                  <w:tcW w:w="2156" w:type="dxa"/>
                </w:tcPr>
                <w:p w:rsidR="00315695" w:rsidRDefault="00315695" w:rsidP="00245A0D"/>
              </w:tc>
              <w:tc>
                <w:tcPr>
                  <w:tcW w:w="3060" w:type="dxa"/>
                </w:tcPr>
                <w:p w:rsidR="00315695" w:rsidRDefault="00315695" w:rsidP="00245A0D"/>
                <w:p w:rsidR="00315695" w:rsidRPr="0077512F" w:rsidRDefault="00315695" w:rsidP="00245A0D"/>
                <w:p w:rsidR="00315695" w:rsidRPr="0077512F" w:rsidRDefault="00315695" w:rsidP="00245A0D"/>
                <w:p w:rsidR="00315695" w:rsidRDefault="00315695" w:rsidP="00245A0D"/>
                <w:p w:rsidR="00315695" w:rsidRPr="0077512F" w:rsidRDefault="00315695" w:rsidP="00245A0D">
                  <w:pPr>
                    <w:jc w:val="center"/>
                  </w:pPr>
                </w:p>
              </w:tc>
              <w:tc>
                <w:tcPr>
                  <w:tcW w:w="2352" w:type="dxa"/>
                </w:tcPr>
                <w:p w:rsidR="00315695" w:rsidRDefault="00315695" w:rsidP="00245A0D"/>
              </w:tc>
            </w:tr>
            <w:tr w:rsidR="00315695" w:rsidTr="00245A0D">
              <w:trPr>
                <w:cantSplit/>
                <w:trHeight w:hRule="exact" w:val="1152"/>
                <w:tblHeader/>
              </w:trPr>
              <w:tc>
                <w:tcPr>
                  <w:tcW w:w="2268" w:type="dxa"/>
                </w:tcPr>
                <w:p w:rsidR="00315695" w:rsidRDefault="00315695" w:rsidP="00245A0D"/>
              </w:tc>
              <w:tc>
                <w:tcPr>
                  <w:tcW w:w="2156" w:type="dxa"/>
                </w:tcPr>
                <w:p w:rsidR="00315695" w:rsidRDefault="00315695" w:rsidP="00245A0D"/>
              </w:tc>
              <w:tc>
                <w:tcPr>
                  <w:tcW w:w="3060" w:type="dxa"/>
                </w:tcPr>
                <w:p w:rsidR="00315695" w:rsidRDefault="00315695" w:rsidP="00245A0D"/>
              </w:tc>
              <w:tc>
                <w:tcPr>
                  <w:tcW w:w="2352" w:type="dxa"/>
                </w:tcPr>
                <w:p w:rsidR="00315695" w:rsidRDefault="00315695" w:rsidP="00245A0D"/>
              </w:tc>
            </w:tr>
          </w:tbl>
          <w:p w:rsidR="00315695" w:rsidRDefault="00315695" w:rsidP="00245A0D"/>
          <w:p w:rsidR="00315695" w:rsidRDefault="00315695" w:rsidP="00245A0D"/>
        </w:tc>
      </w:tr>
      <w:tr w:rsidR="00315695" w:rsidTr="00245A0D">
        <w:trPr>
          <w:cantSplit/>
          <w:trHeight w:hRule="exact" w:val="1152"/>
          <w:tblHeader/>
        </w:trPr>
        <w:tc>
          <w:tcPr>
            <w:tcW w:w="2268" w:type="dxa"/>
          </w:tcPr>
          <w:p w:rsidR="00315695" w:rsidRDefault="00315695" w:rsidP="00245A0D"/>
        </w:tc>
        <w:tc>
          <w:tcPr>
            <w:tcW w:w="2156" w:type="dxa"/>
          </w:tcPr>
          <w:p w:rsidR="00315695" w:rsidRDefault="00315695" w:rsidP="00245A0D"/>
        </w:tc>
        <w:tc>
          <w:tcPr>
            <w:tcW w:w="3060" w:type="dxa"/>
          </w:tcPr>
          <w:p w:rsidR="00315695" w:rsidRDefault="00315695" w:rsidP="00245A0D"/>
        </w:tc>
        <w:tc>
          <w:tcPr>
            <w:tcW w:w="2352" w:type="dxa"/>
          </w:tcPr>
          <w:p w:rsidR="00315695" w:rsidRDefault="00315695" w:rsidP="00245A0D">
            <w:r>
              <w:rPr>
                <w:noProof/>
                <w:lang w:val="nl-BE" w:eastAsia="nl-BE"/>
              </w:rPr>
              <w:drawing>
                <wp:inline distT="0" distB="0" distL="0" distR="0">
                  <wp:extent cx="2447925" cy="1419225"/>
                  <wp:effectExtent l="19050" t="0" r="9525" b="0"/>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447925" cy="1419225"/>
                          </a:xfrm>
                          <a:prstGeom prst="rect">
                            <a:avLst/>
                          </a:prstGeom>
                          <a:noFill/>
                          <a:ln w="9525">
                            <a:noFill/>
                            <a:miter lim="800000"/>
                            <a:headEnd/>
                            <a:tailEnd/>
                          </a:ln>
                        </pic:spPr>
                      </pic:pic>
                    </a:graphicData>
                  </a:graphic>
                </wp:inline>
              </w:drawing>
            </w:r>
          </w:p>
        </w:tc>
      </w:tr>
    </w:tbl>
    <w:p w:rsidR="00315695" w:rsidRDefault="00315695" w:rsidP="00315695"/>
    <w:tbl>
      <w:tblPr>
        <w:tblW w:w="9300" w:type="dxa"/>
        <w:jc w:val="center"/>
        <w:tblLayout w:type="fixed"/>
        <w:tblLook w:val="0000"/>
      </w:tblPr>
      <w:tblGrid>
        <w:gridCol w:w="5077"/>
        <w:gridCol w:w="4223"/>
      </w:tblGrid>
      <w:tr w:rsidR="00315695" w:rsidTr="00245A0D">
        <w:trPr>
          <w:jc w:val="center"/>
        </w:trPr>
        <w:tc>
          <w:tcPr>
            <w:tcW w:w="5077" w:type="dxa"/>
          </w:tcPr>
          <w:p w:rsidR="00315695" w:rsidRDefault="00315695" w:rsidP="00245A0D"/>
        </w:tc>
        <w:tc>
          <w:tcPr>
            <w:tcW w:w="4223" w:type="dxa"/>
            <w:tcBorders>
              <w:left w:val="nil"/>
            </w:tcBorders>
          </w:tcPr>
          <w:p w:rsidR="00315695" w:rsidRDefault="00315695" w:rsidP="00245A0D">
            <w:pPr>
              <w:jc w:val="right"/>
            </w:pPr>
            <w:r>
              <w:t>23 October  2011</w:t>
            </w:r>
          </w:p>
        </w:tc>
      </w:tr>
      <w:tr w:rsidR="00315695" w:rsidTr="00245A0D">
        <w:trPr>
          <w:jc w:val="center"/>
        </w:trPr>
        <w:tc>
          <w:tcPr>
            <w:tcW w:w="5077" w:type="dxa"/>
          </w:tcPr>
          <w:p w:rsidR="00315695" w:rsidRDefault="00315695" w:rsidP="00245A0D"/>
        </w:tc>
        <w:tc>
          <w:tcPr>
            <w:tcW w:w="4223" w:type="dxa"/>
            <w:tcBorders>
              <w:left w:val="nil"/>
            </w:tcBorders>
          </w:tcPr>
          <w:p w:rsidR="00315695" w:rsidRDefault="00315695" w:rsidP="00245A0D">
            <w:pPr>
              <w:jc w:val="right"/>
            </w:pPr>
            <w:r>
              <w:t>EUN/EC/DOC/047</w:t>
            </w:r>
          </w:p>
        </w:tc>
      </w:tr>
      <w:tr w:rsidR="00315695" w:rsidTr="00245A0D">
        <w:trPr>
          <w:jc w:val="center"/>
        </w:trPr>
        <w:tc>
          <w:tcPr>
            <w:tcW w:w="5077" w:type="dxa"/>
          </w:tcPr>
          <w:p w:rsidR="00315695" w:rsidRDefault="00315695" w:rsidP="00245A0D"/>
        </w:tc>
        <w:tc>
          <w:tcPr>
            <w:tcW w:w="4223" w:type="dxa"/>
            <w:tcBorders>
              <w:left w:val="nil"/>
            </w:tcBorders>
          </w:tcPr>
          <w:p w:rsidR="00315695" w:rsidRDefault="00315695" w:rsidP="00245A0D">
            <w:pPr>
              <w:jc w:val="right"/>
            </w:pPr>
          </w:p>
        </w:tc>
      </w:tr>
    </w:tbl>
    <w:p w:rsidR="00315695" w:rsidRDefault="00315695" w:rsidP="00315695">
      <w:pPr>
        <w:pStyle w:val="Titel"/>
      </w:pPr>
    </w:p>
    <w:p w:rsidR="00315695" w:rsidRDefault="00315695" w:rsidP="00315695">
      <w:pPr>
        <w:pStyle w:val="Titel"/>
      </w:pPr>
      <w:r>
        <w:t>Main policy lines of international</w:t>
      </w:r>
    </w:p>
    <w:p w:rsidR="00315695" w:rsidRDefault="00315695" w:rsidP="00315695">
      <w:pPr>
        <w:pStyle w:val="Titel"/>
      </w:pPr>
      <w:r>
        <w:t>organisations, relevant for education councils</w:t>
      </w:r>
    </w:p>
    <w:p w:rsidR="00315695" w:rsidRDefault="00315695" w:rsidP="00315695">
      <w:pPr>
        <w:pStyle w:val="Titel"/>
      </w:pPr>
      <w:r>
        <w:t>State of affairs June – October 2011</w:t>
      </w:r>
    </w:p>
    <w:p w:rsidR="00315695" w:rsidRDefault="00315695" w:rsidP="00315695">
      <w:pPr>
        <w:pStyle w:val="Titel"/>
        <w:rPr>
          <w:lang w:val="en-US"/>
        </w:rPr>
      </w:pPr>
    </w:p>
    <w:p w:rsidR="00315695" w:rsidRDefault="00315695" w:rsidP="00315695">
      <w:pPr>
        <w:pStyle w:val="Titel"/>
        <w:jc w:val="left"/>
        <w:rPr>
          <w:lang w:val="en-US"/>
        </w:rPr>
      </w:pPr>
    </w:p>
    <w:p w:rsidR="00315695" w:rsidRDefault="00315695" w:rsidP="00315695">
      <w:pPr>
        <w:pStyle w:val="Titel"/>
        <w:rPr>
          <w:lang w:val="en-US"/>
        </w:rPr>
      </w:pPr>
    </w:p>
    <w:p w:rsidR="00315695" w:rsidRDefault="00315695" w:rsidP="00315695">
      <w:pPr>
        <w:pStyle w:val="Titel"/>
      </w:pPr>
      <w:r>
        <w:t>UNESCO</w:t>
      </w:r>
    </w:p>
    <w:p w:rsidR="00315695" w:rsidRDefault="00315695" w:rsidP="00315695">
      <w:pPr>
        <w:pStyle w:val="Kop1"/>
        <w:numPr>
          <w:ilvl w:val="0"/>
          <w:numId w:val="2"/>
        </w:numPr>
        <w:jc w:val="both"/>
      </w:pPr>
      <w:r>
        <w:t>New ISCED classification</w:t>
      </w:r>
    </w:p>
    <w:p w:rsidR="00315695" w:rsidRPr="00A255E8" w:rsidRDefault="00315695" w:rsidP="00315695">
      <w:r>
        <w:t>September 2011</w:t>
      </w:r>
    </w:p>
    <w:p w:rsidR="00315695" w:rsidRDefault="00315695" w:rsidP="00315695"/>
    <w:p w:rsidR="00315695" w:rsidRPr="00440D1A" w:rsidRDefault="00315695" w:rsidP="00315695">
      <w:pPr>
        <w:rPr>
          <w:lang w:val="en-US"/>
        </w:rPr>
      </w:pPr>
      <w:r w:rsidRPr="00A255E8">
        <w:rPr>
          <w:lang w:val="en-US"/>
        </w:rPr>
        <w:t> </w:t>
      </w:r>
      <w:r w:rsidRPr="00A255E8">
        <w:rPr>
          <w:bCs/>
          <w:lang w:val="en-US"/>
        </w:rPr>
        <w:t>The UIS has put the final touches to its proposed revisions to the International Standard Classification of Education (ISCED),</w:t>
      </w:r>
    </w:p>
    <w:p w:rsidR="00315695" w:rsidRPr="00A255E8" w:rsidRDefault="00315695" w:rsidP="00315695">
      <w:pPr>
        <w:rPr>
          <w:lang w:val="en-US"/>
        </w:rPr>
      </w:pPr>
    </w:p>
    <w:p w:rsidR="00315695" w:rsidRDefault="00315695" w:rsidP="00315695">
      <w:r w:rsidRPr="00A255E8">
        <w:t xml:space="preserve">ISCED is the framework used to compare statistics on the education systems of countries worldwide. It was first developed by UNESCO in 1976 and was then revised in 1997. </w:t>
      </w:r>
      <w:r>
        <w:t>E</w:t>
      </w:r>
      <w:r w:rsidRPr="00A255E8">
        <w:t xml:space="preserve">ducation systems are constantly evolving. So </w:t>
      </w:r>
      <w:r>
        <w:t xml:space="preserve">there is the </w:t>
      </w:r>
      <w:r w:rsidRPr="00A255E8">
        <w:t>need to periodically update the framework to ensure that it reflects current structures. ISCED is also an important tool used to produce accurate data that reflect today’s education priorities and policies.</w:t>
      </w:r>
    </w:p>
    <w:p w:rsidR="00315695" w:rsidRDefault="00315695" w:rsidP="00315695"/>
    <w:p w:rsidR="00315695" w:rsidRDefault="00315695" w:rsidP="00315695">
      <w:pPr>
        <w:rPr>
          <w:lang w:val="en-US"/>
        </w:rPr>
      </w:pPr>
      <w:r w:rsidRPr="00A255E8">
        <w:rPr>
          <w:lang w:val="en-US"/>
        </w:rPr>
        <w:t xml:space="preserve">ISCED has always been used to classify </w:t>
      </w:r>
      <w:proofErr w:type="spellStart"/>
      <w:r w:rsidRPr="00A255E8">
        <w:rPr>
          <w:lang w:val="en-US"/>
        </w:rPr>
        <w:t>programmes</w:t>
      </w:r>
      <w:proofErr w:type="spellEnd"/>
      <w:r w:rsidRPr="00A255E8">
        <w:rPr>
          <w:lang w:val="en-US"/>
        </w:rPr>
        <w:t xml:space="preserve"> by levels of education – from pre-primary to the highest levels of tertiary education. Previously, the first level (ISCED 0) encompassed only pre-primary education </w:t>
      </w:r>
      <w:proofErr w:type="spellStart"/>
      <w:r w:rsidRPr="00A255E8">
        <w:rPr>
          <w:lang w:val="en-US"/>
        </w:rPr>
        <w:t>programmes</w:t>
      </w:r>
      <w:proofErr w:type="spellEnd"/>
      <w:r w:rsidRPr="00A255E8">
        <w:rPr>
          <w:lang w:val="en-US"/>
        </w:rPr>
        <w:t xml:space="preserve"> designed for children from the age of three to the official primary school entrance age. In the new version, this level has been </w:t>
      </w:r>
      <w:r w:rsidRPr="00A255E8">
        <w:rPr>
          <w:lang w:val="en-US"/>
        </w:rPr>
        <w:lastRenderedPageBreak/>
        <w:t xml:space="preserve">expanded to include an additional sub-category of education </w:t>
      </w:r>
      <w:proofErr w:type="spellStart"/>
      <w:r w:rsidRPr="00A255E8">
        <w:rPr>
          <w:lang w:val="en-US"/>
        </w:rPr>
        <w:t>programmes</w:t>
      </w:r>
      <w:proofErr w:type="spellEnd"/>
      <w:r w:rsidRPr="00A255E8">
        <w:rPr>
          <w:lang w:val="en-US"/>
        </w:rPr>
        <w:t xml:space="preserve"> designed for children below the age of three. These types of </w:t>
      </w:r>
      <w:proofErr w:type="spellStart"/>
      <w:r w:rsidRPr="00A255E8">
        <w:rPr>
          <w:lang w:val="en-US"/>
        </w:rPr>
        <w:t>programmes</w:t>
      </w:r>
      <w:proofErr w:type="spellEnd"/>
      <w:r w:rsidRPr="00A255E8">
        <w:rPr>
          <w:lang w:val="en-US"/>
        </w:rPr>
        <w:t xml:space="preserve"> for very young children are becoming increasingly popular. So</w:t>
      </w:r>
      <w:r>
        <w:rPr>
          <w:lang w:val="en-US"/>
        </w:rPr>
        <w:t xml:space="preserve"> the new provision will allow </w:t>
      </w:r>
      <w:r w:rsidRPr="00A255E8">
        <w:rPr>
          <w:lang w:val="en-US"/>
        </w:rPr>
        <w:t xml:space="preserve"> to compare data </w:t>
      </w:r>
      <w:r>
        <w:rPr>
          <w:lang w:val="en-US"/>
        </w:rPr>
        <w:t>on these for the first time.  </w:t>
      </w:r>
      <w:r>
        <w:rPr>
          <w:lang w:val="en-US"/>
        </w:rPr>
        <w:br/>
      </w:r>
      <w:r w:rsidRPr="00A255E8">
        <w:rPr>
          <w:lang w:val="en-US"/>
        </w:rPr>
        <w:t xml:space="preserve">On the other end of the scale, the classification of tertiary levels of education </w:t>
      </w:r>
      <w:r>
        <w:rPr>
          <w:lang w:val="en-US"/>
        </w:rPr>
        <w:t>is</w:t>
      </w:r>
      <w:r w:rsidRPr="00A255E8">
        <w:rPr>
          <w:lang w:val="en-US"/>
        </w:rPr>
        <w:t xml:space="preserve"> substantially improved. The revised ISCED has four levels of tertiary education compared to two categories in the current version. A major reason behind this change was to better reflect the tertiary education structure (Bachelor’</w:t>
      </w:r>
      <w:r>
        <w:rPr>
          <w:lang w:val="en-US"/>
        </w:rPr>
        <w:t>s, Master’s and Doctorate).</w:t>
      </w:r>
    </w:p>
    <w:p w:rsidR="00315695" w:rsidRPr="00A255E8" w:rsidRDefault="00315695" w:rsidP="00315695">
      <w:pPr>
        <w:rPr>
          <w:lang w:val="en-US"/>
        </w:rPr>
      </w:pPr>
      <w:r w:rsidRPr="00A255E8">
        <w:rPr>
          <w:lang w:val="en-US"/>
        </w:rPr>
        <w:t>Another significant innovation is the introduction of educational attainment into the framework. For the first time, ISCED will offer a system to classify qualifications into educational attainment levels. This will enable governments to better assess their human capital resources. </w:t>
      </w:r>
    </w:p>
    <w:p w:rsidR="00315695" w:rsidRPr="00A255E8" w:rsidRDefault="00315695" w:rsidP="00315695">
      <w:pPr>
        <w:rPr>
          <w:lang w:val="en-US"/>
        </w:rPr>
      </w:pPr>
      <w:r w:rsidRPr="00A255E8">
        <w:rPr>
          <w:lang w:val="en-US"/>
        </w:rPr>
        <w:t> </w:t>
      </w:r>
    </w:p>
    <w:p w:rsidR="00315695" w:rsidRDefault="00315695" w:rsidP="00315695">
      <w:hyperlink r:id="rId7" w:history="1">
        <w:r w:rsidRPr="005B42B8">
          <w:rPr>
            <w:rStyle w:val="Hyperlink"/>
          </w:rPr>
          <w:t>http://www.uis.unesco.org/Education/Pages/isced-new-classification.aspx</w:t>
        </w:r>
      </w:hyperlink>
      <w:r>
        <w:t xml:space="preserve"> </w:t>
      </w:r>
    </w:p>
    <w:p w:rsidR="00315695" w:rsidRPr="00A255E8" w:rsidRDefault="00315695" w:rsidP="00315695">
      <w:r>
        <w:t xml:space="preserve">The new proposal </w:t>
      </w:r>
      <w:hyperlink r:id="rId8" w:history="1">
        <w:r w:rsidRPr="005B42B8">
          <w:rPr>
            <w:rStyle w:val="Hyperlink"/>
          </w:rPr>
          <w:t>http://www.uis.unesco.org/Education/Documents/UNESCO_GC_36C-19_ISCED_EN.pdf</w:t>
        </w:r>
      </w:hyperlink>
      <w:r>
        <w:t xml:space="preserve"> </w:t>
      </w:r>
    </w:p>
    <w:p w:rsidR="00315695" w:rsidRDefault="00315695" w:rsidP="00315695">
      <w:pPr>
        <w:pStyle w:val="Kop1"/>
        <w:numPr>
          <w:ilvl w:val="0"/>
          <w:numId w:val="2"/>
        </w:numPr>
        <w:jc w:val="both"/>
      </w:pPr>
      <w:r w:rsidRPr="006A527D">
        <w:t>Current challenges in basic science education</w:t>
      </w:r>
    </w:p>
    <w:p w:rsidR="00315695" w:rsidRDefault="00315695" w:rsidP="00315695">
      <w:pPr>
        <w:autoSpaceDE w:val="0"/>
        <w:autoSpaceDN w:val="0"/>
        <w:adjustRightInd w:val="0"/>
        <w:spacing w:line="240" w:lineRule="auto"/>
        <w:rPr>
          <w:rFonts w:ascii="GillSansStd-Light" w:eastAsia="Calibri" w:hAnsi="GillSansStd-Light" w:cs="GillSansStd-Light"/>
          <w:lang w:val="en-US" w:eastAsia="en-US"/>
        </w:rPr>
      </w:pPr>
    </w:p>
    <w:p w:rsidR="00315695" w:rsidRDefault="00315695" w:rsidP="00315695">
      <w:pPr>
        <w:autoSpaceDE w:val="0"/>
        <w:autoSpaceDN w:val="0"/>
        <w:adjustRightInd w:val="0"/>
        <w:spacing w:line="240" w:lineRule="auto"/>
        <w:rPr>
          <w:rFonts w:ascii="GillSansStd-Light" w:eastAsia="Calibri" w:hAnsi="GillSansStd-Light" w:cs="GillSansStd-Light"/>
          <w:lang w:val="en-US" w:eastAsia="en-US"/>
        </w:rPr>
      </w:pPr>
      <w:r w:rsidRPr="006A527D">
        <w:rPr>
          <w:rFonts w:ascii="GillSansStd-Light" w:eastAsia="Calibri" w:hAnsi="GillSansStd-Light" w:cs="GillSansStd-Light"/>
          <w:lang w:val="en-US" w:eastAsia="en-US"/>
        </w:rPr>
        <w:t>This document was prepared in the framework of the Science</w:t>
      </w:r>
      <w:r>
        <w:rPr>
          <w:rFonts w:ascii="GillSansStd-Light" w:eastAsia="Calibri" w:hAnsi="GillSansStd-Light" w:cs="GillSansStd-Light"/>
          <w:lang w:val="en-US" w:eastAsia="en-US"/>
        </w:rPr>
        <w:t xml:space="preserve"> </w:t>
      </w:r>
      <w:r w:rsidRPr="006A527D">
        <w:rPr>
          <w:rFonts w:ascii="GillSansStd-Light" w:eastAsia="Calibri" w:hAnsi="GillSansStd-Light" w:cs="GillSansStd-Light"/>
          <w:lang w:val="en-US" w:eastAsia="en-US"/>
        </w:rPr>
        <w:t xml:space="preserve">Education </w:t>
      </w:r>
      <w:proofErr w:type="spellStart"/>
      <w:r w:rsidRPr="006A527D">
        <w:rPr>
          <w:rFonts w:ascii="GillSansStd-Light" w:eastAsia="Calibri" w:hAnsi="GillSansStd-Light" w:cs="GillSansStd-Light"/>
          <w:lang w:val="en-US" w:eastAsia="en-US"/>
        </w:rPr>
        <w:t>Programme</w:t>
      </w:r>
      <w:proofErr w:type="spellEnd"/>
      <w:r w:rsidRPr="006A527D">
        <w:rPr>
          <w:rFonts w:ascii="GillSansStd-Light" w:eastAsia="Calibri" w:hAnsi="GillSansStd-Light" w:cs="GillSansStd-Light"/>
          <w:lang w:val="en-US" w:eastAsia="en-US"/>
        </w:rPr>
        <w:t xml:space="preserve"> of the Section of Secondary Education, Division</w:t>
      </w:r>
      <w:r>
        <w:rPr>
          <w:rFonts w:ascii="GillSansStd-Light" w:eastAsia="Calibri" w:hAnsi="GillSansStd-Light" w:cs="GillSansStd-Light"/>
          <w:lang w:val="en-US" w:eastAsia="en-US"/>
        </w:rPr>
        <w:t xml:space="preserve"> </w:t>
      </w:r>
      <w:r w:rsidRPr="006A527D">
        <w:rPr>
          <w:rFonts w:ascii="GillSansStd-Light" w:eastAsia="Calibri" w:hAnsi="GillSansStd-Light" w:cs="GillSansStd-Light"/>
          <w:lang w:val="en-US" w:eastAsia="en-US"/>
        </w:rPr>
        <w:t>of Basic Education.</w:t>
      </w:r>
    </w:p>
    <w:p w:rsidR="00315695" w:rsidRPr="006A527D" w:rsidRDefault="00315695" w:rsidP="00315695">
      <w:pPr>
        <w:autoSpaceDE w:val="0"/>
        <w:autoSpaceDN w:val="0"/>
        <w:adjustRightInd w:val="0"/>
        <w:spacing w:line="240" w:lineRule="auto"/>
        <w:rPr>
          <w:rFonts w:ascii="GillSansStd-Light" w:eastAsia="Calibri" w:hAnsi="GillSansStd-Light" w:cs="GillSansStd-Light"/>
          <w:lang w:val="en-US" w:eastAsia="en-US"/>
        </w:rPr>
      </w:pPr>
      <w:r>
        <w:rPr>
          <w:rFonts w:ascii="GillSansStd-Light" w:eastAsia="Calibri" w:hAnsi="GillSansStd-Light" w:cs="GillSansStd-Light"/>
          <w:lang w:val="en-US" w:eastAsia="en-US"/>
        </w:rPr>
        <w:t>UNESCO 2011</w:t>
      </w:r>
    </w:p>
    <w:p w:rsidR="00315695" w:rsidRPr="00A02C86" w:rsidRDefault="00315695" w:rsidP="00315695">
      <w:pPr>
        <w:rPr>
          <w:highlight w:val="yellow"/>
        </w:rPr>
      </w:pPr>
    </w:p>
    <w:p w:rsidR="00315695" w:rsidRPr="006A527D" w:rsidRDefault="00315695" w:rsidP="00315695">
      <w:pPr>
        <w:rPr>
          <w:lang w:val="en-US" w:eastAsia="nl-BE"/>
        </w:rPr>
      </w:pPr>
      <w:r>
        <w:rPr>
          <w:lang w:val="en-US" w:eastAsia="nl-BE"/>
        </w:rPr>
        <w:t>In the conclusions we read that t</w:t>
      </w:r>
      <w:r w:rsidRPr="006A527D">
        <w:rPr>
          <w:lang w:val="en-US" w:eastAsia="nl-BE"/>
        </w:rPr>
        <w:t>he most important resource undoubtedly is an adequately and appropriately educated teacher.</w:t>
      </w:r>
    </w:p>
    <w:p w:rsidR="00315695" w:rsidRPr="006A527D" w:rsidRDefault="00315695" w:rsidP="00315695">
      <w:pPr>
        <w:rPr>
          <w:lang w:val="en-US" w:eastAsia="nl-BE"/>
        </w:rPr>
      </w:pPr>
      <w:r>
        <w:rPr>
          <w:lang w:val="en-US" w:eastAsia="nl-BE"/>
        </w:rPr>
        <w:t>The main challenge is to find and educate suffi</w:t>
      </w:r>
      <w:r w:rsidRPr="006A527D">
        <w:rPr>
          <w:lang w:val="en-US" w:eastAsia="nl-BE"/>
        </w:rPr>
        <w:t>cient teachers in the process, as well as the</w:t>
      </w:r>
    </w:p>
    <w:p w:rsidR="00315695" w:rsidRPr="006A527D" w:rsidRDefault="00315695" w:rsidP="00315695">
      <w:pPr>
        <w:rPr>
          <w:lang w:val="en-US" w:eastAsia="nl-BE"/>
        </w:rPr>
      </w:pPr>
      <w:r w:rsidRPr="006A527D">
        <w:rPr>
          <w:lang w:val="en-US" w:eastAsia="nl-BE"/>
        </w:rPr>
        <w:t>content, of science, its curricular approach and appropriate didactics and teaching approaches.</w:t>
      </w:r>
    </w:p>
    <w:p w:rsidR="00315695" w:rsidRPr="006A527D" w:rsidRDefault="00315695" w:rsidP="00315695">
      <w:pPr>
        <w:rPr>
          <w:lang w:val="en-US" w:eastAsia="nl-BE"/>
        </w:rPr>
      </w:pPr>
      <w:r w:rsidRPr="006A527D">
        <w:rPr>
          <w:lang w:val="en-US" w:eastAsia="nl-BE"/>
        </w:rPr>
        <w:t>This challenge may seem too demanding for the realities of some countries.</w:t>
      </w:r>
      <w:r>
        <w:rPr>
          <w:lang w:val="en-US" w:eastAsia="nl-BE"/>
        </w:rPr>
        <w:t xml:space="preserve"> </w:t>
      </w:r>
      <w:r w:rsidRPr="006A527D">
        <w:rPr>
          <w:lang w:val="en-US" w:eastAsia="nl-BE"/>
        </w:rPr>
        <w:t xml:space="preserve">However, </w:t>
      </w:r>
      <w:r>
        <w:rPr>
          <w:lang w:val="en-US" w:eastAsia="nl-BE"/>
        </w:rPr>
        <w:t>the</w:t>
      </w:r>
      <w:r w:rsidRPr="006A527D">
        <w:rPr>
          <w:lang w:val="en-US" w:eastAsia="nl-BE"/>
        </w:rPr>
        <w:t xml:space="preserve"> aim is above all to do things differently, rather than demanding more.</w:t>
      </w:r>
    </w:p>
    <w:p w:rsidR="00315695" w:rsidRPr="006A527D" w:rsidRDefault="00315695" w:rsidP="00315695">
      <w:pPr>
        <w:rPr>
          <w:lang w:val="en-US" w:eastAsia="nl-BE"/>
        </w:rPr>
      </w:pPr>
      <w:r w:rsidRPr="006A527D">
        <w:rPr>
          <w:lang w:val="en-US" w:eastAsia="nl-BE"/>
        </w:rPr>
        <w:t>These teachers will also need access to, and be committed to, in-service</w:t>
      </w:r>
      <w:r>
        <w:rPr>
          <w:lang w:val="en-US" w:eastAsia="nl-BE"/>
        </w:rPr>
        <w:t xml:space="preserve"> </w:t>
      </w:r>
      <w:r w:rsidRPr="006A527D">
        <w:rPr>
          <w:lang w:val="en-US" w:eastAsia="nl-BE"/>
        </w:rPr>
        <w:t>education, to continue their professional development. This means that</w:t>
      </w:r>
      <w:r>
        <w:rPr>
          <w:lang w:val="en-US" w:eastAsia="nl-BE"/>
        </w:rPr>
        <w:t xml:space="preserve"> </w:t>
      </w:r>
      <w:r w:rsidRPr="006A527D">
        <w:rPr>
          <w:lang w:val="en-US" w:eastAsia="nl-BE"/>
        </w:rPr>
        <w:t>countries and regions must have such a system available with incentives to</w:t>
      </w:r>
      <w:r>
        <w:rPr>
          <w:lang w:val="en-US" w:eastAsia="nl-BE"/>
        </w:rPr>
        <w:t xml:space="preserve"> </w:t>
      </w:r>
      <w:r w:rsidRPr="006A527D">
        <w:rPr>
          <w:lang w:val="en-US" w:eastAsia="nl-BE"/>
        </w:rPr>
        <w:t>support it.</w:t>
      </w:r>
    </w:p>
    <w:p w:rsidR="00315695" w:rsidRPr="00C765DE" w:rsidRDefault="00315695" w:rsidP="00315695">
      <w:pPr>
        <w:rPr>
          <w:lang w:val="en-US" w:eastAsia="nl-BE"/>
        </w:rPr>
      </w:pPr>
      <w:r>
        <w:rPr>
          <w:lang w:val="en-US" w:eastAsia="nl-BE"/>
        </w:rPr>
        <w:t>The fi</w:t>
      </w:r>
      <w:r w:rsidRPr="006A527D">
        <w:rPr>
          <w:lang w:val="en-US" w:eastAsia="nl-BE"/>
        </w:rPr>
        <w:t>nal challenge is to educate stakeholde</w:t>
      </w:r>
      <w:r>
        <w:rPr>
          <w:lang w:val="en-US" w:eastAsia="nl-BE"/>
        </w:rPr>
        <w:t>rs, beyond members of scientifi</w:t>
      </w:r>
      <w:r w:rsidRPr="006A527D">
        <w:rPr>
          <w:lang w:val="en-US" w:eastAsia="nl-BE"/>
        </w:rPr>
        <w:t>c</w:t>
      </w:r>
      <w:r>
        <w:rPr>
          <w:lang w:val="en-US" w:eastAsia="nl-BE"/>
        </w:rPr>
        <w:t xml:space="preserve"> </w:t>
      </w:r>
      <w:r w:rsidRPr="006A527D">
        <w:rPr>
          <w:lang w:val="en-US" w:eastAsia="nl-BE"/>
        </w:rPr>
        <w:t>communities and researchers in science education, to include representatives</w:t>
      </w:r>
      <w:r>
        <w:rPr>
          <w:lang w:val="en-US" w:eastAsia="nl-BE"/>
        </w:rPr>
        <w:t xml:space="preserve"> </w:t>
      </w:r>
      <w:r w:rsidRPr="006A527D">
        <w:rPr>
          <w:lang w:val="en-US" w:eastAsia="nl-BE"/>
        </w:rPr>
        <w:t>of business and commercial groups, politicians, parents and local and national</w:t>
      </w:r>
      <w:r>
        <w:rPr>
          <w:lang w:val="en-US" w:eastAsia="nl-BE"/>
        </w:rPr>
        <w:t xml:space="preserve"> </w:t>
      </w:r>
      <w:r w:rsidRPr="006A527D">
        <w:rPr>
          <w:lang w:val="en-US" w:eastAsia="nl-BE"/>
        </w:rPr>
        <w:t>authorities. This involvement is essential for the support of teachers and</w:t>
      </w:r>
      <w:r>
        <w:rPr>
          <w:lang w:val="en-US" w:eastAsia="nl-BE"/>
        </w:rPr>
        <w:t xml:space="preserve"> </w:t>
      </w:r>
      <w:r w:rsidRPr="006A527D">
        <w:t>students and for a renewal of the curriculum, both national and international.</w:t>
      </w:r>
    </w:p>
    <w:p w:rsidR="00315695" w:rsidRDefault="00315695" w:rsidP="00315695">
      <w:pPr>
        <w:pStyle w:val="Standaardnummering3"/>
        <w:numPr>
          <w:ilvl w:val="0"/>
          <w:numId w:val="0"/>
        </w:numPr>
        <w:rPr>
          <w:rFonts w:ascii="Arial" w:hAnsi="Arial" w:cs="Arial"/>
          <w:sz w:val="22"/>
          <w:szCs w:val="22"/>
          <w:lang w:val="en-GB"/>
        </w:rPr>
      </w:pPr>
    </w:p>
    <w:p w:rsidR="00315695" w:rsidRDefault="00315695" w:rsidP="00315695">
      <w:pPr>
        <w:autoSpaceDE w:val="0"/>
        <w:autoSpaceDN w:val="0"/>
        <w:adjustRightInd w:val="0"/>
        <w:spacing w:line="240" w:lineRule="auto"/>
        <w:rPr>
          <w:rFonts w:ascii="GillSansStd-Light" w:eastAsia="Calibri" w:hAnsi="GillSansStd-Light" w:cs="GillSansStd-Light"/>
          <w:lang w:val="en-US" w:eastAsia="en-US"/>
        </w:rPr>
      </w:pPr>
      <w:r w:rsidRPr="006A527D">
        <w:rPr>
          <w:rFonts w:ascii="GillSansStd-Light" w:eastAsia="Calibri" w:hAnsi="GillSansStd-Light" w:cs="GillSansStd-Light"/>
          <w:lang w:val="en-US" w:eastAsia="en-US"/>
        </w:rPr>
        <w:t xml:space="preserve">Six key factors come to the fore. </w:t>
      </w:r>
    </w:p>
    <w:p w:rsidR="00315695" w:rsidRDefault="00315695" w:rsidP="00315695">
      <w:pPr>
        <w:pStyle w:val="Lijstalinea"/>
        <w:numPr>
          <w:ilvl w:val="0"/>
          <w:numId w:val="3"/>
        </w:numPr>
        <w:autoSpaceDE w:val="0"/>
        <w:autoSpaceDN w:val="0"/>
        <w:adjustRightInd w:val="0"/>
        <w:spacing w:line="240" w:lineRule="auto"/>
        <w:rPr>
          <w:rFonts w:ascii="GillSansStd-Light" w:eastAsia="Calibri" w:hAnsi="GillSansStd-Light" w:cs="GillSansStd-Light"/>
          <w:lang w:val="en-US" w:eastAsia="en-US"/>
        </w:rPr>
      </w:pPr>
      <w:r w:rsidRPr="006A527D">
        <w:rPr>
          <w:rFonts w:ascii="GillSansStd-Light" w:eastAsia="Calibri" w:hAnsi="GillSansStd-Light" w:cs="GillSansStd-Light"/>
          <w:lang w:val="en-US" w:eastAsia="en-US"/>
        </w:rPr>
        <w:t>a curriculum based on science</w:t>
      </w:r>
      <w:r>
        <w:rPr>
          <w:rFonts w:ascii="GillSansStd-Light" w:eastAsia="Calibri" w:hAnsi="GillSansStd-Light" w:cs="GillSansStd-Light"/>
          <w:lang w:val="en-US" w:eastAsia="en-US"/>
        </w:rPr>
        <w:t xml:space="preserve"> </w:t>
      </w:r>
      <w:r w:rsidRPr="006A527D">
        <w:rPr>
          <w:rFonts w:ascii="GillSansStd-Light" w:eastAsia="Calibri" w:hAnsi="GillSansStd-Light" w:cs="GillSansStd-Light"/>
          <w:lang w:val="en-US" w:eastAsia="en-US"/>
        </w:rPr>
        <w:t>as process rather than a product, wit</w:t>
      </w:r>
      <w:r>
        <w:rPr>
          <w:rFonts w:ascii="GillSansStd-Light" w:eastAsia="Calibri" w:hAnsi="GillSansStd-Light" w:cs="GillSansStd-Light"/>
          <w:lang w:val="en-US" w:eastAsia="en-US"/>
        </w:rPr>
        <w:t>h the focus on deeper learning</w:t>
      </w:r>
    </w:p>
    <w:p w:rsidR="00315695" w:rsidRDefault="00315695" w:rsidP="00315695">
      <w:pPr>
        <w:pStyle w:val="Lijstalinea"/>
        <w:numPr>
          <w:ilvl w:val="0"/>
          <w:numId w:val="3"/>
        </w:numPr>
        <w:autoSpaceDE w:val="0"/>
        <w:autoSpaceDN w:val="0"/>
        <w:adjustRightInd w:val="0"/>
        <w:spacing w:line="240" w:lineRule="auto"/>
        <w:rPr>
          <w:rFonts w:ascii="GillSansStd-Light" w:eastAsia="Calibri" w:hAnsi="GillSansStd-Light" w:cs="GillSansStd-Light"/>
          <w:lang w:val="en-US" w:eastAsia="en-US"/>
        </w:rPr>
      </w:pPr>
      <w:r w:rsidRPr="006A527D">
        <w:rPr>
          <w:rFonts w:ascii="GillSansStd-Light" w:eastAsia="Calibri" w:hAnsi="GillSansStd-Light" w:cs="GillSansStd-Light"/>
          <w:lang w:val="en-US" w:eastAsia="en-US"/>
        </w:rPr>
        <w:t>adequate and appropriate teacher education, as basic</w:t>
      </w:r>
      <w:r>
        <w:rPr>
          <w:rFonts w:ascii="GillSansStd-Light" w:eastAsia="Calibri" w:hAnsi="GillSansStd-Light" w:cs="GillSansStd-Light"/>
          <w:lang w:val="en-US" w:eastAsia="en-US"/>
        </w:rPr>
        <w:t xml:space="preserve"> </w:t>
      </w:r>
      <w:r w:rsidRPr="006A527D">
        <w:rPr>
          <w:rFonts w:ascii="GillSansStd-Light" w:eastAsia="Calibri" w:hAnsi="GillSansStd-Light" w:cs="GillSansStd-Light"/>
          <w:lang w:val="en-US" w:eastAsia="en-US"/>
        </w:rPr>
        <w:t>education crucially depends on the person who brings about the curriculum,</w:t>
      </w:r>
    </w:p>
    <w:p w:rsidR="00315695" w:rsidRPr="006A527D" w:rsidRDefault="00315695" w:rsidP="00315695">
      <w:pPr>
        <w:pStyle w:val="Lijstalinea"/>
        <w:numPr>
          <w:ilvl w:val="0"/>
          <w:numId w:val="3"/>
        </w:numPr>
        <w:autoSpaceDE w:val="0"/>
        <w:autoSpaceDN w:val="0"/>
        <w:adjustRightInd w:val="0"/>
        <w:spacing w:line="240" w:lineRule="auto"/>
        <w:rPr>
          <w:rFonts w:ascii="GillSansStd-Light" w:eastAsia="Calibri" w:hAnsi="GillSansStd-Light" w:cs="GillSansStd-Light"/>
          <w:lang w:val="en-US" w:eastAsia="en-US"/>
        </w:rPr>
      </w:pPr>
      <w:proofErr w:type="spellStart"/>
      <w:r>
        <w:rPr>
          <w:rFonts w:ascii="GillSansStd-Light" w:eastAsia="Calibri" w:hAnsi="GillSansStd-Light" w:cs="GillSansStd-Light"/>
          <w:lang w:val="nl-BE" w:eastAsia="en-US"/>
        </w:rPr>
        <w:t>Inquiry</w:t>
      </w:r>
      <w:proofErr w:type="spellEnd"/>
      <w:r>
        <w:rPr>
          <w:rFonts w:ascii="GillSansStd-Light" w:eastAsia="Calibri" w:hAnsi="GillSansStd-Light" w:cs="GillSansStd-Light"/>
          <w:lang w:val="nl-BE" w:eastAsia="en-US"/>
        </w:rPr>
        <w:t xml:space="preserve"> </w:t>
      </w:r>
      <w:proofErr w:type="spellStart"/>
      <w:r>
        <w:rPr>
          <w:rFonts w:ascii="GillSansStd-Light" w:eastAsia="Calibri" w:hAnsi="GillSansStd-Light" w:cs="GillSansStd-Light"/>
          <w:lang w:val="nl-BE" w:eastAsia="en-US"/>
        </w:rPr>
        <w:t>Based</w:t>
      </w:r>
      <w:proofErr w:type="spellEnd"/>
      <w:r>
        <w:rPr>
          <w:rFonts w:ascii="GillSansStd-Light" w:eastAsia="Calibri" w:hAnsi="GillSansStd-Light" w:cs="GillSansStd-Light"/>
          <w:lang w:val="nl-BE" w:eastAsia="en-US"/>
        </w:rPr>
        <w:t xml:space="preserve"> Learning</w:t>
      </w:r>
    </w:p>
    <w:p w:rsidR="00315695" w:rsidRDefault="00315695" w:rsidP="00315695">
      <w:pPr>
        <w:pStyle w:val="Lijstalinea"/>
        <w:numPr>
          <w:ilvl w:val="0"/>
          <w:numId w:val="3"/>
        </w:numPr>
        <w:autoSpaceDE w:val="0"/>
        <w:autoSpaceDN w:val="0"/>
        <w:adjustRightInd w:val="0"/>
        <w:spacing w:line="240" w:lineRule="auto"/>
        <w:rPr>
          <w:rFonts w:ascii="GillSansStd-Light" w:eastAsia="Calibri" w:hAnsi="GillSansStd-Light" w:cs="GillSansStd-Light"/>
          <w:lang w:val="en-US" w:eastAsia="en-US"/>
        </w:rPr>
      </w:pPr>
      <w:r w:rsidRPr="006A527D">
        <w:rPr>
          <w:rFonts w:ascii="GillSansStd-Light" w:eastAsia="Calibri" w:hAnsi="GillSansStd-Light" w:cs="GillSansStd-Light"/>
          <w:lang w:val="en-US" w:eastAsia="en-US"/>
        </w:rPr>
        <w:t>complementary strategies and actions that improve equality</w:t>
      </w:r>
      <w:r>
        <w:rPr>
          <w:rFonts w:ascii="GillSansStd-Light" w:eastAsia="Calibri" w:hAnsi="GillSansStd-Light" w:cs="GillSansStd-Light"/>
          <w:lang w:val="en-US" w:eastAsia="en-US"/>
        </w:rPr>
        <w:t xml:space="preserve"> </w:t>
      </w:r>
      <w:r w:rsidRPr="006A527D">
        <w:rPr>
          <w:rFonts w:ascii="GillSansStd-Light" w:eastAsia="Calibri" w:hAnsi="GillSansStd-Light" w:cs="GillSansStd-Light"/>
          <w:lang w:val="en-US" w:eastAsia="en-US"/>
        </w:rPr>
        <w:t>of access for groups such as girls, the poor and minority ethnic groups</w:t>
      </w:r>
    </w:p>
    <w:p w:rsidR="00315695" w:rsidRDefault="00315695" w:rsidP="00315695">
      <w:pPr>
        <w:pStyle w:val="Lijstalinea"/>
        <w:numPr>
          <w:ilvl w:val="0"/>
          <w:numId w:val="3"/>
        </w:numPr>
        <w:autoSpaceDE w:val="0"/>
        <w:autoSpaceDN w:val="0"/>
        <w:adjustRightInd w:val="0"/>
        <w:spacing w:line="240" w:lineRule="auto"/>
        <w:rPr>
          <w:rFonts w:ascii="GillSansStd-Light" w:eastAsia="Calibri" w:hAnsi="GillSansStd-Light" w:cs="GillSansStd-Light"/>
          <w:lang w:val="en-US" w:eastAsia="en-US"/>
        </w:rPr>
      </w:pPr>
      <w:r w:rsidRPr="006A527D">
        <w:rPr>
          <w:rFonts w:ascii="GillSansStd-Light" w:eastAsia="Calibri" w:hAnsi="GillSansStd-Light" w:cs="GillSansStd-Light"/>
          <w:lang w:val="en-US" w:eastAsia="en-US"/>
        </w:rPr>
        <w:t>be</w:t>
      </w:r>
      <w:r>
        <w:rPr>
          <w:rFonts w:ascii="GillSansStd-Light" w:eastAsia="Calibri" w:hAnsi="GillSansStd-Light" w:cs="GillSansStd-Light"/>
          <w:lang w:val="en-US" w:eastAsia="en-US"/>
        </w:rPr>
        <w:t xml:space="preserve"> </w:t>
      </w:r>
      <w:r w:rsidRPr="006A527D">
        <w:rPr>
          <w:rFonts w:ascii="GillSansStd-Light" w:eastAsia="Calibri" w:hAnsi="GillSansStd-Light" w:cs="GillSansStd-Light"/>
          <w:lang w:val="en-US" w:eastAsia="en-US"/>
        </w:rPr>
        <w:t>aware of the factors that help increase the numbers of students who wish to follow careers in</w:t>
      </w:r>
      <w:r>
        <w:rPr>
          <w:rFonts w:ascii="GillSansStd-Light" w:eastAsia="Calibri" w:hAnsi="GillSansStd-Light" w:cs="GillSansStd-Light"/>
          <w:lang w:val="en-US" w:eastAsia="en-US"/>
        </w:rPr>
        <w:t xml:space="preserve"> </w:t>
      </w:r>
      <w:r w:rsidRPr="006A527D">
        <w:rPr>
          <w:rFonts w:ascii="GillSansStd-Light" w:eastAsia="Calibri" w:hAnsi="GillSansStd-Light" w:cs="GillSansStd-Light"/>
          <w:lang w:val="en-US" w:eastAsia="en-US"/>
        </w:rPr>
        <w:t>science</w:t>
      </w:r>
    </w:p>
    <w:p w:rsidR="00315695" w:rsidRPr="006A527D" w:rsidRDefault="00315695" w:rsidP="00315695">
      <w:pPr>
        <w:pStyle w:val="Lijstalinea"/>
        <w:numPr>
          <w:ilvl w:val="0"/>
          <w:numId w:val="3"/>
        </w:numPr>
        <w:autoSpaceDE w:val="0"/>
        <w:autoSpaceDN w:val="0"/>
        <w:adjustRightInd w:val="0"/>
        <w:spacing w:line="240" w:lineRule="auto"/>
        <w:rPr>
          <w:rFonts w:ascii="GillSansStd-Light" w:eastAsia="Calibri" w:hAnsi="GillSansStd-Light" w:cs="GillSansStd-Light"/>
          <w:lang w:val="en-US" w:eastAsia="en-US"/>
        </w:rPr>
      </w:pPr>
      <w:r w:rsidRPr="006A527D">
        <w:rPr>
          <w:rFonts w:ascii="GillSansStd-Light" w:eastAsia="Calibri" w:hAnsi="GillSansStd-Light" w:cs="GillSansStd-Light"/>
          <w:lang w:val="en-US" w:eastAsia="en-US"/>
        </w:rPr>
        <w:t>the need to involve actors from outside the school system.</w:t>
      </w:r>
    </w:p>
    <w:p w:rsidR="00315695" w:rsidRPr="006A527D" w:rsidRDefault="00315695" w:rsidP="00315695">
      <w:pPr>
        <w:pStyle w:val="Standaardnummering3"/>
        <w:numPr>
          <w:ilvl w:val="0"/>
          <w:numId w:val="0"/>
        </w:numPr>
        <w:rPr>
          <w:rFonts w:ascii="Arial" w:hAnsi="Arial" w:cs="Arial"/>
          <w:sz w:val="22"/>
          <w:szCs w:val="22"/>
          <w:lang w:val="en-GB"/>
        </w:rPr>
      </w:pPr>
    </w:p>
    <w:p w:rsidR="00315695" w:rsidRPr="006A527D" w:rsidRDefault="00315695" w:rsidP="00315695">
      <w:pPr>
        <w:pStyle w:val="Standaardnummering3"/>
        <w:numPr>
          <w:ilvl w:val="0"/>
          <w:numId w:val="0"/>
        </w:numPr>
        <w:rPr>
          <w:rFonts w:ascii="Arial" w:hAnsi="Arial" w:cs="Arial"/>
          <w:sz w:val="22"/>
          <w:szCs w:val="22"/>
          <w:lang w:val="en-GB"/>
        </w:rPr>
      </w:pPr>
      <w:hyperlink r:id="rId9" w:history="1">
        <w:r w:rsidRPr="006A527D">
          <w:rPr>
            <w:rStyle w:val="Hyperlink"/>
            <w:rFonts w:ascii="Arial" w:hAnsi="Arial" w:cs="Arial"/>
            <w:sz w:val="22"/>
            <w:szCs w:val="22"/>
            <w:lang w:val="en-GB"/>
          </w:rPr>
          <w:t>http://unesdoc.unesco.org/images/0019/001914/191425e.pdf</w:t>
        </w:r>
      </w:hyperlink>
      <w:r w:rsidRPr="006A527D">
        <w:rPr>
          <w:rFonts w:ascii="Arial" w:hAnsi="Arial" w:cs="Arial"/>
          <w:sz w:val="22"/>
          <w:szCs w:val="22"/>
          <w:lang w:val="en-GB"/>
        </w:rPr>
        <w:t xml:space="preserve"> </w:t>
      </w:r>
    </w:p>
    <w:p w:rsidR="00315695" w:rsidRPr="001518F0" w:rsidRDefault="00315695" w:rsidP="00315695">
      <w:pPr>
        <w:jc w:val="both"/>
        <w:rPr>
          <w:highlight w:val="yellow"/>
        </w:rPr>
      </w:pPr>
    </w:p>
    <w:p w:rsidR="00315695" w:rsidRDefault="00315695" w:rsidP="00315695">
      <w:pPr>
        <w:pStyle w:val="Kop1"/>
        <w:numPr>
          <w:ilvl w:val="0"/>
          <w:numId w:val="2"/>
        </w:numPr>
        <w:jc w:val="both"/>
      </w:pPr>
      <w:r w:rsidRPr="006A527D">
        <w:t>Education counts.  Towards the Millennium Development Goals.</w:t>
      </w:r>
    </w:p>
    <w:p w:rsidR="00315695" w:rsidRPr="006A527D" w:rsidRDefault="00315695" w:rsidP="00315695"/>
    <w:p w:rsidR="00315695" w:rsidRDefault="00315695" w:rsidP="00315695">
      <w:r>
        <w:t>UNESCO 2011</w:t>
      </w:r>
    </w:p>
    <w:p w:rsidR="00315695" w:rsidRDefault="00315695" w:rsidP="00315695"/>
    <w:p w:rsidR="00315695" w:rsidRPr="006A527D" w:rsidRDefault="00315695" w:rsidP="00315695">
      <w:r>
        <w:t xml:space="preserve">This brochure contains graphs that illustrate the impact of education on human wellbeing, form health until enhanced welfare.  The most important message: education is the best insurance against poverty. </w:t>
      </w:r>
    </w:p>
    <w:p w:rsidR="00315695" w:rsidRDefault="00315695" w:rsidP="00315695">
      <w:hyperlink r:id="rId10" w:history="1">
        <w:r w:rsidRPr="00556B3C">
          <w:rPr>
            <w:rStyle w:val="Hyperlink"/>
          </w:rPr>
          <w:t>http://unesdoc.unesco.org/images/0019/001902/190214e.pdf</w:t>
        </w:r>
      </w:hyperlink>
      <w:r>
        <w:t xml:space="preserve"> </w:t>
      </w:r>
    </w:p>
    <w:p w:rsidR="00315695" w:rsidRPr="007A421C" w:rsidRDefault="00315695" w:rsidP="00315695"/>
    <w:p w:rsidR="009162BF" w:rsidRDefault="009162BF"/>
    <w:sectPr w:rsidR="009162BF" w:rsidSect="007645BA">
      <w:footerReference w:type="default" r:id="rId11"/>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GillSansStd-Ligh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5E8" w:rsidRDefault="00315695">
    <w:pPr>
      <w:pStyle w:val="Voettekst"/>
      <w:jc w:val="right"/>
    </w:pPr>
    <w:r>
      <w:fldChar w:fldCharType="begin"/>
    </w:r>
    <w:r>
      <w:instrText xml:space="preserve"> PAGE   \* MERGEFORMAT </w:instrText>
    </w:r>
    <w:r>
      <w:fldChar w:fldCharType="separate"/>
    </w:r>
    <w:r>
      <w:rPr>
        <w:noProof/>
      </w:rPr>
      <w:t>1</w:t>
    </w:r>
    <w:r>
      <w:fldChar w:fldCharType="end"/>
    </w:r>
  </w:p>
  <w:p w:rsidR="00A255E8" w:rsidRDefault="00315695">
    <w:pPr>
      <w:pStyle w:val="Voettekst"/>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43EDD"/>
    <w:multiLevelType w:val="hybridMultilevel"/>
    <w:tmpl w:val="0826D550"/>
    <w:lvl w:ilvl="0" w:tplc="0400D822">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53301AAE"/>
    <w:multiLevelType w:val="multilevel"/>
    <w:tmpl w:val="91C84668"/>
    <w:lvl w:ilvl="0">
      <w:start w:val="1"/>
      <w:numFmt w:val="decimal"/>
      <w:pStyle w:val="Standaardnummering"/>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1985"/>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62970AEA"/>
    <w:multiLevelType w:val="hybridMultilevel"/>
    <w:tmpl w:val="AD5A009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73CB02C6"/>
    <w:multiLevelType w:val="multilevel"/>
    <w:tmpl w:val="FF5E6580"/>
    <w:lvl w:ilvl="0">
      <w:start w:val="1"/>
      <w:numFmt w:val="decimal"/>
      <w:pStyle w:val="Kop1"/>
      <w:lvlText w:val="%1."/>
      <w:lvlJc w:val="left"/>
      <w:pPr>
        <w:ind w:left="574" w:hanging="432"/>
      </w:pPr>
      <w:rPr>
        <w:rFonts w:hint="default"/>
        <w:lang w:val="en-GB"/>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15695"/>
    <w:rsid w:val="00016826"/>
    <w:rsid w:val="0002567D"/>
    <w:rsid w:val="00056D64"/>
    <w:rsid w:val="000A3C82"/>
    <w:rsid w:val="000F7FFC"/>
    <w:rsid w:val="001619C9"/>
    <w:rsid w:val="00171871"/>
    <w:rsid w:val="001A2E00"/>
    <w:rsid w:val="001E261D"/>
    <w:rsid w:val="002423E9"/>
    <w:rsid w:val="00262D54"/>
    <w:rsid w:val="0027564B"/>
    <w:rsid w:val="00286CB4"/>
    <w:rsid w:val="002A618F"/>
    <w:rsid w:val="002E20BF"/>
    <w:rsid w:val="003042D2"/>
    <w:rsid w:val="00307111"/>
    <w:rsid w:val="00315695"/>
    <w:rsid w:val="00315C27"/>
    <w:rsid w:val="00397AA6"/>
    <w:rsid w:val="003C5D1D"/>
    <w:rsid w:val="003E0DDF"/>
    <w:rsid w:val="003F42D4"/>
    <w:rsid w:val="00437922"/>
    <w:rsid w:val="00444402"/>
    <w:rsid w:val="00490A22"/>
    <w:rsid w:val="004912B1"/>
    <w:rsid w:val="004E3959"/>
    <w:rsid w:val="004F11DC"/>
    <w:rsid w:val="004F5D1B"/>
    <w:rsid w:val="0050410B"/>
    <w:rsid w:val="00521002"/>
    <w:rsid w:val="00524EAD"/>
    <w:rsid w:val="00540E64"/>
    <w:rsid w:val="005438CE"/>
    <w:rsid w:val="005A5C4F"/>
    <w:rsid w:val="00636586"/>
    <w:rsid w:val="006737DB"/>
    <w:rsid w:val="006830B1"/>
    <w:rsid w:val="00694F81"/>
    <w:rsid w:val="006B0C8A"/>
    <w:rsid w:val="006B440E"/>
    <w:rsid w:val="006B4F2C"/>
    <w:rsid w:val="007975A0"/>
    <w:rsid w:val="007B3B0E"/>
    <w:rsid w:val="00805AB3"/>
    <w:rsid w:val="00815A66"/>
    <w:rsid w:val="00862889"/>
    <w:rsid w:val="008B76F8"/>
    <w:rsid w:val="008C0AFA"/>
    <w:rsid w:val="008F073C"/>
    <w:rsid w:val="009016EC"/>
    <w:rsid w:val="009162BF"/>
    <w:rsid w:val="00957359"/>
    <w:rsid w:val="00A4730A"/>
    <w:rsid w:val="00A51132"/>
    <w:rsid w:val="00A612D6"/>
    <w:rsid w:val="00A63D3C"/>
    <w:rsid w:val="00A74634"/>
    <w:rsid w:val="00AD0DB3"/>
    <w:rsid w:val="00B00CA6"/>
    <w:rsid w:val="00B656CF"/>
    <w:rsid w:val="00BB7F4C"/>
    <w:rsid w:val="00BC53B0"/>
    <w:rsid w:val="00BF102D"/>
    <w:rsid w:val="00C16CC4"/>
    <w:rsid w:val="00C44A32"/>
    <w:rsid w:val="00C62759"/>
    <w:rsid w:val="00C67942"/>
    <w:rsid w:val="00C91C14"/>
    <w:rsid w:val="00CB6E4E"/>
    <w:rsid w:val="00CC17CD"/>
    <w:rsid w:val="00CD23BF"/>
    <w:rsid w:val="00CF12DE"/>
    <w:rsid w:val="00CF41FF"/>
    <w:rsid w:val="00D440DB"/>
    <w:rsid w:val="00D54AF5"/>
    <w:rsid w:val="00D670B5"/>
    <w:rsid w:val="00D71E53"/>
    <w:rsid w:val="00D9546E"/>
    <w:rsid w:val="00DB59FC"/>
    <w:rsid w:val="00DD38F3"/>
    <w:rsid w:val="00DD4EBC"/>
    <w:rsid w:val="00DE5D77"/>
    <w:rsid w:val="00E02B76"/>
    <w:rsid w:val="00E042AF"/>
    <w:rsid w:val="00E112CA"/>
    <w:rsid w:val="00E40107"/>
    <w:rsid w:val="00E5047B"/>
    <w:rsid w:val="00E54671"/>
    <w:rsid w:val="00E729D6"/>
    <w:rsid w:val="00EA02C7"/>
    <w:rsid w:val="00EF2ACC"/>
    <w:rsid w:val="00EF3A3C"/>
    <w:rsid w:val="00F0780A"/>
    <w:rsid w:val="00F331EA"/>
    <w:rsid w:val="00F42455"/>
    <w:rsid w:val="00F46EBB"/>
    <w:rsid w:val="00F50951"/>
    <w:rsid w:val="00F740D5"/>
    <w:rsid w:val="00F75876"/>
    <w:rsid w:val="00F92606"/>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5695"/>
    <w:pPr>
      <w:spacing w:after="0" w:line="280" w:lineRule="exact"/>
    </w:pPr>
    <w:rPr>
      <w:rFonts w:ascii="Arial" w:eastAsia="Times New Roman" w:hAnsi="Arial" w:cs="Arial"/>
      <w:lang w:val="en-GB" w:eastAsia="nl-NL"/>
    </w:rPr>
  </w:style>
  <w:style w:type="paragraph" w:styleId="Kop1">
    <w:name w:val="heading 1"/>
    <w:basedOn w:val="Standaard"/>
    <w:next w:val="Standaard"/>
    <w:link w:val="Kop1Char"/>
    <w:uiPriority w:val="99"/>
    <w:qFormat/>
    <w:rsid w:val="00315695"/>
    <w:pPr>
      <w:keepNext/>
      <w:keepLines/>
      <w:numPr>
        <w:numId w:val="1"/>
      </w:numPr>
      <w:spacing w:before="480"/>
      <w:ind w:left="432"/>
      <w:outlineLvl w:val="0"/>
    </w:pPr>
    <w:rPr>
      <w:rFonts w:ascii="Cambria" w:hAnsi="Cambria" w:cs="Cambria"/>
      <w:b/>
      <w:bCs/>
      <w:color w:val="365F91"/>
      <w:sz w:val="28"/>
      <w:szCs w:val="28"/>
    </w:rPr>
  </w:style>
  <w:style w:type="paragraph" w:styleId="Kop2">
    <w:name w:val="heading 2"/>
    <w:aliases w:val="Kop 2 Char Char"/>
    <w:basedOn w:val="Standaard"/>
    <w:next w:val="Standaard"/>
    <w:link w:val="Kop2Char"/>
    <w:uiPriority w:val="99"/>
    <w:qFormat/>
    <w:rsid w:val="00315695"/>
    <w:pPr>
      <w:keepNext/>
      <w:keepLines/>
      <w:numPr>
        <w:ilvl w:val="1"/>
        <w:numId w:val="1"/>
      </w:numPr>
      <w:spacing w:before="200"/>
      <w:outlineLvl w:val="1"/>
    </w:pPr>
    <w:rPr>
      <w:rFonts w:ascii="Cambria" w:hAnsi="Cambria" w:cs="Cambria"/>
      <w:b/>
      <w:bCs/>
      <w:color w:val="4F81BD"/>
      <w:sz w:val="26"/>
      <w:szCs w:val="26"/>
    </w:rPr>
  </w:style>
  <w:style w:type="paragraph" w:styleId="Kop3">
    <w:name w:val="heading 3"/>
    <w:aliases w:val="Kop 3 Char Char Char"/>
    <w:basedOn w:val="Standaard"/>
    <w:next w:val="Standaard"/>
    <w:link w:val="Kop3Char"/>
    <w:uiPriority w:val="99"/>
    <w:qFormat/>
    <w:rsid w:val="00315695"/>
    <w:pPr>
      <w:keepNext/>
      <w:keepLines/>
      <w:numPr>
        <w:ilvl w:val="2"/>
        <w:numId w:val="1"/>
      </w:numPr>
      <w:spacing w:before="200"/>
      <w:outlineLvl w:val="2"/>
    </w:pPr>
    <w:rPr>
      <w:rFonts w:ascii="Cambria" w:hAnsi="Cambria" w:cs="Cambria"/>
      <w:b/>
      <w:bCs/>
      <w:color w:val="4F81BD"/>
    </w:rPr>
  </w:style>
  <w:style w:type="paragraph" w:styleId="Kop4">
    <w:name w:val="heading 4"/>
    <w:basedOn w:val="Standaard"/>
    <w:next w:val="Standaard"/>
    <w:link w:val="Kop4Char"/>
    <w:uiPriority w:val="99"/>
    <w:qFormat/>
    <w:rsid w:val="00315695"/>
    <w:pPr>
      <w:keepNext/>
      <w:keepLines/>
      <w:numPr>
        <w:ilvl w:val="3"/>
        <w:numId w:val="1"/>
      </w:numPr>
      <w:spacing w:before="200"/>
      <w:outlineLvl w:val="3"/>
    </w:pPr>
    <w:rPr>
      <w:rFonts w:ascii="Cambria" w:hAnsi="Cambria" w:cs="Cambria"/>
      <w:b/>
      <w:bCs/>
      <w:i/>
      <w:iCs/>
      <w:color w:val="4F81BD"/>
    </w:rPr>
  </w:style>
  <w:style w:type="paragraph" w:styleId="Kop5">
    <w:name w:val="heading 5"/>
    <w:basedOn w:val="Standaard"/>
    <w:next w:val="Standaard"/>
    <w:link w:val="Kop5Char"/>
    <w:uiPriority w:val="99"/>
    <w:qFormat/>
    <w:rsid w:val="00315695"/>
    <w:pPr>
      <w:keepNext/>
      <w:keepLines/>
      <w:numPr>
        <w:ilvl w:val="4"/>
        <w:numId w:val="1"/>
      </w:numPr>
      <w:spacing w:before="200"/>
      <w:outlineLvl w:val="4"/>
    </w:pPr>
    <w:rPr>
      <w:rFonts w:ascii="Cambria" w:hAnsi="Cambria" w:cs="Cambria"/>
      <w:color w:val="243F60"/>
    </w:rPr>
  </w:style>
  <w:style w:type="paragraph" w:styleId="Kop6">
    <w:name w:val="heading 6"/>
    <w:basedOn w:val="Standaard"/>
    <w:next w:val="Standaard"/>
    <w:link w:val="Kop6Char"/>
    <w:uiPriority w:val="99"/>
    <w:qFormat/>
    <w:rsid w:val="00315695"/>
    <w:pPr>
      <w:keepNext/>
      <w:keepLines/>
      <w:numPr>
        <w:ilvl w:val="5"/>
        <w:numId w:val="1"/>
      </w:numPr>
      <w:spacing w:before="200"/>
      <w:outlineLvl w:val="5"/>
    </w:pPr>
    <w:rPr>
      <w:rFonts w:ascii="Cambria" w:hAnsi="Cambria" w:cs="Cambria"/>
      <w:i/>
      <w:iCs/>
      <w:color w:val="243F60"/>
    </w:rPr>
  </w:style>
  <w:style w:type="paragraph" w:styleId="Kop7">
    <w:name w:val="heading 7"/>
    <w:basedOn w:val="Standaard"/>
    <w:next w:val="Standaard"/>
    <w:link w:val="Kop7Char"/>
    <w:uiPriority w:val="99"/>
    <w:qFormat/>
    <w:rsid w:val="00315695"/>
    <w:pPr>
      <w:keepNext/>
      <w:keepLines/>
      <w:numPr>
        <w:ilvl w:val="6"/>
        <w:numId w:val="1"/>
      </w:numPr>
      <w:spacing w:before="200"/>
      <w:outlineLvl w:val="6"/>
    </w:pPr>
    <w:rPr>
      <w:rFonts w:ascii="Cambria" w:hAnsi="Cambria" w:cs="Cambria"/>
      <w:i/>
      <w:iCs/>
      <w:color w:val="404040"/>
    </w:rPr>
  </w:style>
  <w:style w:type="paragraph" w:styleId="Kop8">
    <w:name w:val="heading 8"/>
    <w:basedOn w:val="Standaard"/>
    <w:next w:val="Standaard"/>
    <w:link w:val="Kop8Char"/>
    <w:uiPriority w:val="99"/>
    <w:qFormat/>
    <w:rsid w:val="00315695"/>
    <w:pPr>
      <w:keepNext/>
      <w:keepLines/>
      <w:numPr>
        <w:ilvl w:val="7"/>
        <w:numId w:val="1"/>
      </w:numPr>
      <w:spacing w:before="200"/>
      <w:outlineLvl w:val="7"/>
    </w:pPr>
    <w:rPr>
      <w:rFonts w:ascii="Cambria" w:hAnsi="Cambria" w:cs="Cambria"/>
      <w:color w:val="404040"/>
      <w:sz w:val="20"/>
      <w:szCs w:val="20"/>
    </w:rPr>
  </w:style>
  <w:style w:type="paragraph" w:styleId="Kop9">
    <w:name w:val="heading 9"/>
    <w:basedOn w:val="Standaard"/>
    <w:next w:val="Standaard"/>
    <w:link w:val="Kop9Char"/>
    <w:uiPriority w:val="99"/>
    <w:qFormat/>
    <w:rsid w:val="00315695"/>
    <w:pPr>
      <w:keepNext/>
      <w:keepLines/>
      <w:numPr>
        <w:ilvl w:val="8"/>
        <w:numId w:val="1"/>
      </w:numPr>
      <w:spacing w:before="200"/>
      <w:outlineLvl w:val="8"/>
    </w:pPr>
    <w:rPr>
      <w:rFonts w:ascii="Cambria" w:hAnsi="Cambria" w:cs="Cambria"/>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315695"/>
    <w:rPr>
      <w:rFonts w:ascii="Cambria" w:eastAsia="Times New Roman" w:hAnsi="Cambria" w:cs="Cambria"/>
      <w:b/>
      <w:bCs/>
      <w:color w:val="365F91"/>
      <w:sz w:val="28"/>
      <w:szCs w:val="28"/>
      <w:lang w:val="en-GB" w:eastAsia="nl-NL"/>
    </w:rPr>
  </w:style>
  <w:style w:type="character" w:customStyle="1" w:styleId="Kop2Char">
    <w:name w:val="Kop 2 Char"/>
    <w:basedOn w:val="Standaardalinea-lettertype"/>
    <w:link w:val="Kop2"/>
    <w:uiPriority w:val="99"/>
    <w:rsid w:val="00315695"/>
    <w:rPr>
      <w:rFonts w:ascii="Cambria" w:eastAsia="Times New Roman" w:hAnsi="Cambria" w:cs="Cambria"/>
      <w:b/>
      <w:bCs/>
      <w:color w:val="4F81BD"/>
      <w:sz w:val="26"/>
      <w:szCs w:val="26"/>
      <w:lang w:val="en-GB" w:eastAsia="nl-NL"/>
    </w:rPr>
  </w:style>
  <w:style w:type="character" w:customStyle="1" w:styleId="Kop3Char">
    <w:name w:val="Kop 3 Char"/>
    <w:basedOn w:val="Standaardalinea-lettertype"/>
    <w:link w:val="Kop3"/>
    <w:uiPriority w:val="99"/>
    <w:rsid w:val="00315695"/>
    <w:rPr>
      <w:rFonts w:ascii="Cambria" w:eastAsia="Times New Roman" w:hAnsi="Cambria" w:cs="Cambria"/>
      <w:b/>
      <w:bCs/>
      <w:color w:val="4F81BD"/>
      <w:lang w:val="en-GB" w:eastAsia="nl-NL"/>
    </w:rPr>
  </w:style>
  <w:style w:type="character" w:customStyle="1" w:styleId="Kop4Char">
    <w:name w:val="Kop 4 Char"/>
    <w:basedOn w:val="Standaardalinea-lettertype"/>
    <w:link w:val="Kop4"/>
    <w:uiPriority w:val="99"/>
    <w:rsid w:val="00315695"/>
    <w:rPr>
      <w:rFonts w:ascii="Cambria" w:eastAsia="Times New Roman" w:hAnsi="Cambria" w:cs="Cambria"/>
      <w:b/>
      <w:bCs/>
      <w:i/>
      <w:iCs/>
      <w:color w:val="4F81BD"/>
      <w:lang w:val="en-GB" w:eastAsia="nl-NL"/>
    </w:rPr>
  </w:style>
  <w:style w:type="character" w:customStyle="1" w:styleId="Kop5Char">
    <w:name w:val="Kop 5 Char"/>
    <w:basedOn w:val="Standaardalinea-lettertype"/>
    <w:link w:val="Kop5"/>
    <w:uiPriority w:val="99"/>
    <w:rsid w:val="00315695"/>
    <w:rPr>
      <w:rFonts w:ascii="Cambria" w:eastAsia="Times New Roman" w:hAnsi="Cambria" w:cs="Cambria"/>
      <w:color w:val="243F60"/>
      <w:lang w:val="en-GB" w:eastAsia="nl-NL"/>
    </w:rPr>
  </w:style>
  <w:style w:type="character" w:customStyle="1" w:styleId="Kop6Char">
    <w:name w:val="Kop 6 Char"/>
    <w:basedOn w:val="Standaardalinea-lettertype"/>
    <w:link w:val="Kop6"/>
    <w:uiPriority w:val="99"/>
    <w:rsid w:val="00315695"/>
    <w:rPr>
      <w:rFonts w:ascii="Cambria" w:eastAsia="Times New Roman" w:hAnsi="Cambria" w:cs="Cambria"/>
      <w:i/>
      <w:iCs/>
      <w:color w:val="243F60"/>
      <w:lang w:val="en-GB" w:eastAsia="nl-NL"/>
    </w:rPr>
  </w:style>
  <w:style w:type="character" w:customStyle="1" w:styleId="Kop7Char">
    <w:name w:val="Kop 7 Char"/>
    <w:basedOn w:val="Standaardalinea-lettertype"/>
    <w:link w:val="Kop7"/>
    <w:uiPriority w:val="99"/>
    <w:rsid w:val="00315695"/>
    <w:rPr>
      <w:rFonts w:ascii="Cambria" w:eastAsia="Times New Roman" w:hAnsi="Cambria" w:cs="Cambria"/>
      <w:i/>
      <w:iCs/>
      <w:color w:val="404040"/>
      <w:lang w:val="en-GB" w:eastAsia="nl-NL"/>
    </w:rPr>
  </w:style>
  <w:style w:type="character" w:customStyle="1" w:styleId="Kop8Char">
    <w:name w:val="Kop 8 Char"/>
    <w:basedOn w:val="Standaardalinea-lettertype"/>
    <w:link w:val="Kop8"/>
    <w:uiPriority w:val="99"/>
    <w:rsid w:val="00315695"/>
    <w:rPr>
      <w:rFonts w:ascii="Cambria" w:eastAsia="Times New Roman" w:hAnsi="Cambria" w:cs="Cambria"/>
      <w:color w:val="404040"/>
      <w:sz w:val="20"/>
      <w:szCs w:val="20"/>
      <w:lang w:val="en-GB" w:eastAsia="nl-NL"/>
    </w:rPr>
  </w:style>
  <w:style w:type="character" w:customStyle="1" w:styleId="Kop9Char">
    <w:name w:val="Kop 9 Char"/>
    <w:basedOn w:val="Standaardalinea-lettertype"/>
    <w:link w:val="Kop9"/>
    <w:uiPriority w:val="99"/>
    <w:rsid w:val="00315695"/>
    <w:rPr>
      <w:rFonts w:ascii="Cambria" w:eastAsia="Times New Roman" w:hAnsi="Cambria" w:cs="Cambria"/>
      <w:i/>
      <w:iCs/>
      <w:color w:val="404040"/>
      <w:sz w:val="20"/>
      <w:szCs w:val="20"/>
      <w:lang w:val="en-GB" w:eastAsia="nl-NL"/>
    </w:rPr>
  </w:style>
  <w:style w:type="paragraph" w:styleId="Titel">
    <w:name w:val="Title"/>
    <w:basedOn w:val="Standaard"/>
    <w:next w:val="Standaard"/>
    <w:link w:val="TitelChar"/>
    <w:autoRedefine/>
    <w:uiPriority w:val="99"/>
    <w:qFormat/>
    <w:rsid w:val="00315695"/>
    <w:pPr>
      <w:keepNext/>
      <w:keepLines/>
      <w:spacing w:before="240" w:after="240"/>
      <w:jc w:val="center"/>
    </w:pPr>
    <w:rPr>
      <w:rFonts w:ascii="Verdana" w:hAnsi="Verdana" w:cs="Verdana"/>
      <w:b/>
      <w:bCs/>
      <w:color w:val="808080"/>
      <w:kern w:val="28"/>
      <w:sz w:val="28"/>
      <w:szCs w:val="28"/>
    </w:rPr>
  </w:style>
  <w:style w:type="character" w:customStyle="1" w:styleId="TitelChar">
    <w:name w:val="Titel Char"/>
    <w:basedOn w:val="Standaardalinea-lettertype"/>
    <w:link w:val="Titel"/>
    <w:uiPriority w:val="99"/>
    <w:rsid w:val="00315695"/>
    <w:rPr>
      <w:rFonts w:ascii="Verdana" w:eastAsia="Times New Roman" w:hAnsi="Verdana" w:cs="Verdana"/>
      <w:b/>
      <w:bCs/>
      <w:color w:val="808080"/>
      <w:kern w:val="28"/>
      <w:sz w:val="28"/>
      <w:szCs w:val="28"/>
      <w:lang w:val="en-GB" w:eastAsia="nl-NL"/>
    </w:rPr>
  </w:style>
  <w:style w:type="paragraph" w:styleId="Lijstalinea">
    <w:name w:val="List Paragraph"/>
    <w:basedOn w:val="Standaard"/>
    <w:uiPriority w:val="34"/>
    <w:qFormat/>
    <w:rsid w:val="00315695"/>
    <w:pPr>
      <w:ind w:left="720"/>
    </w:pPr>
  </w:style>
  <w:style w:type="character" w:styleId="Hyperlink">
    <w:name w:val="Hyperlink"/>
    <w:basedOn w:val="Standaardalinea-lettertype"/>
    <w:uiPriority w:val="99"/>
    <w:rsid w:val="00315695"/>
    <w:rPr>
      <w:rFonts w:cs="Times New Roman"/>
      <w:color w:val="0000FF"/>
      <w:u w:val="single"/>
    </w:rPr>
  </w:style>
  <w:style w:type="paragraph" w:styleId="Voettekst">
    <w:name w:val="footer"/>
    <w:basedOn w:val="Standaard"/>
    <w:link w:val="VoettekstChar"/>
    <w:uiPriority w:val="99"/>
    <w:rsid w:val="0031569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15695"/>
    <w:rPr>
      <w:rFonts w:ascii="Arial" w:eastAsia="Times New Roman" w:hAnsi="Arial" w:cs="Arial"/>
      <w:lang w:val="en-GB" w:eastAsia="nl-NL"/>
    </w:rPr>
  </w:style>
  <w:style w:type="paragraph" w:customStyle="1" w:styleId="Standaardnummering">
    <w:name w:val="Standaard nummering"/>
    <w:basedOn w:val="Lijstalinea"/>
    <w:uiPriority w:val="1"/>
    <w:qFormat/>
    <w:rsid w:val="00315695"/>
    <w:pPr>
      <w:numPr>
        <w:numId w:val="4"/>
      </w:numPr>
      <w:contextualSpacing/>
    </w:pPr>
    <w:rPr>
      <w:rFonts w:ascii="Franklin Gothic Book" w:hAnsi="Franklin Gothic Book" w:cs="Times New Roman"/>
      <w:sz w:val="20"/>
      <w:szCs w:val="24"/>
      <w:lang w:val="nl-BE" w:eastAsia="nl-BE"/>
    </w:rPr>
  </w:style>
  <w:style w:type="paragraph" w:customStyle="1" w:styleId="Standaardnummering2">
    <w:name w:val="Standaard nummering 2"/>
    <w:basedOn w:val="Standaardnummering"/>
    <w:uiPriority w:val="2"/>
    <w:qFormat/>
    <w:rsid w:val="00315695"/>
    <w:pPr>
      <w:numPr>
        <w:ilvl w:val="1"/>
      </w:numPr>
      <w:contextualSpacing w:val="0"/>
    </w:pPr>
  </w:style>
  <w:style w:type="paragraph" w:customStyle="1" w:styleId="Standaardnummering3">
    <w:name w:val="Standaard nummering 3"/>
    <w:basedOn w:val="Standaardnummering2"/>
    <w:uiPriority w:val="2"/>
    <w:qFormat/>
    <w:rsid w:val="00315695"/>
    <w:pPr>
      <w:numPr>
        <w:ilvl w:val="2"/>
      </w:numPr>
    </w:pPr>
  </w:style>
  <w:style w:type="paragraph" w:styleId="Ballontekst">
    <w:name w:val="Balloon Text"/>
    <w:basedOn w:val="Standaard"/>
    <w:link w:val="BallontekstChar"/>
    <w:uiPriority w:val="99"/>
    <w:semiHidden/>
    <w:unhideWhenUsed/>
    <w:rsid w:val="0031569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15695"/>
    <w:rPr>
      <w:rFonts w:ascii="Tahoma" w:eastAsia="Times New Roman" w:hAnsi="Tahoma" w:cs="Tahoma"/>
      <w:sz w:val="16"/>
      <w:szCs w:val="16"/>
      <w:lang w:val="en-GB"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is.unesco.org/Education/Documents/UNESCO_GC_36C-19_ISCED_E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is.unesco.org/Education/Pages/isced-new-classification.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oter" Target="footer1.xml"/><Relationship Id="rId5" Type="http://schemas.openxmlformats.org/officeDocument/2006/relationships/image" Target="media/image1.emf"/><Relationship Id="rId10" Type="http://schemas.openxmlformats.org/officeDocument/2006/relationships/hyperlink" Target="http://unesdoc.unesco.org/images/0019/001902/190214e.pdf" TargetMode="External"/><Relationship Id="rId4" Type="http://schemas.openxmlformats.org/officeDocument/2006/relationships/webSettings" Target="webSettings.xml"/><Relationship Id="rId9" Type="http://schemas.openxmlformats.org/officeDocument/2006/relationships/hyperlink" Target="http://unesdoc.unesco.org/images/0019/001914/191425e.pdf"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4199</Characters>
  <Application>Microsoft Office Word</Application>
  <DocSecurity>0</DocSecurity>
  <Lines>131</Lines>
  <Paragraphs>52</Paragraphs>
  <ScaleCrop>false</ScaleCrop>
  <Company/>
  <LinksUpToDate>false</LinksUpToDate>
  <CharactersWithSpaces>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De Smet</dc:creator>
  <cp:lastModifiedBy>Carine De Smet</cp:lastModifiedBy>
  <cp:revision>1</cp:revision>
  <dcterms:created xsi:type="dcterms:W3CDTF">2012-03-28T13:30:00Z</dcterms:created>
  <dcterms:modified xsi:type="dcterms:W3CDTF">2012-03-28T13:31:00Z</dcterms:modified>
</cp:coreProperties>
</file>