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5DB2544A" w14:textId="2BE6BB9B" w:rsidR="009705EE" w:rsidRPr="006A1F79" w:rsidRDefault="0054511E" w:rsidP="00B42CEF">
      <w:pPr>
        <w:pStyle w:val="Titel"/>
        <w:rPr>
          <w:lang w:val="nl-BE"/>
        </w:rPr>
      </w:pPr>
      <w:r w:rsidRPr="006A1F79">
        <w:rPr>
          <w:lang w:val="nl-BE"/>
        </w:rPr>
        <w:t>(</w:t>
      </w:r>
      <w:r w:rsidR="00834D9A">
        <w:rPr>
          <w:lang w:val="nl-BE"/>
        </w:rPr>
        <w:t>October 2014</w:t>
      </w:r>
      <w:r w:rsidR="00B961FA">
        <w:rPr>
          <w:lang w:val="nl-BE"/>
        </w:rPr>
        <w:t xml:space="preserve"> – November 2014</w:t>
      </w:r>
      <w:r w:rsidRPr="006A1F79">
        <w:rPr>
          <w:lang w:val="nl-BE"/>
        </w:rPr>
        <w:t>)</w:t>
      </w:r>
    </w:p>
    <w:p w14:paraId="5DB254AA" w14:textId="77777777" w:rsidR="00EE75B7" w:rsidRDefault="00EE75B7" w:rsidP="00D20FC3">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sidRPr="00AA00FB">
        <w:rPr>
          <w:rFonts w:ascii="Verdana" w:eastAsia="Times New Roman" w:hAnsi="Verdana" w:cs="Times New Roman"/>
          <w:b/>
          <w:color w:val="808080"/>
          <w:kern w:val="28"/>
          <w:sz w:val="28"/>
          <w:szCs w:val="20"/>
          <w:lang w:eastAsia="nl-NL"/>
        </w:rPr>
        <w:t>OECD</w:t>
      </w:r>
    </w:p>
    <w:p w14:paraId="61DB55AF" w14:textId="41191249" w:rsidR="00A1263B" w:rsidRDefault="00A1263B" w:rsidP="00CC2B4C">
      <w:pPr>
        <w:pStyle w:val="Kop1"/>
        <w:numPr>
          <w:ilvl w:val="0"/>
          <w:numId w:val="10"/>
        </w:numPr>
      </w:pPr>
      <w:r>
        <w:t>Skills beyond school</w:t>
      </w:r>
    </w:p>
    <w:p w14:paraId="4CA1A249" w14:textId="6B83611A" w:rsidR="001D42C6" w:rsidRDefault="001D42C6" w:rsidP="001D42C6">
      <w:r>
        <w:t>November 2014</w:t>
      </w:r>
    </w:p>
    <w:p w14:paraId="5F737604" w14:textId="64E12127" w:rsidR="001D42C6" w:rsidRPr="001D42C6" w:rsidRDefault="001D42C6" w:rsidP="00C400FE">
      <w:pPr>
        <w:jc w:val="both"/>
      </w:pPr>
      <w:r>
        <w:t>The results of this project have been presented to the EUNEC conference on ‘Bridging the transitions between education and the labour market’, Prague, 20-21 October 2014.</w:t>
      </w:r>
    </w:p>
    <w:p w14:paraId="2621B60C" w14:textId="0E1BB921" w:rsidR="00A1263B" w:rsidRDefault="001D42C6" w:rsidP="00C400FE">
      <w:pPr>
        <w:jc w:val="both"/>
      </w:pPr>
      <w:r w:rsidRPr="001D42C6">
        <w:t xml:space="preserve">Skills beyond School </w:t>
      </w:r>
      <w:r>
        <w:t>is the</w:t>
      </w:r>
      <w:r w:rsidRPr="001D42C6">
        <w:t xml:space="preserve"> OECD policy review of postsecondary vo</w:t>
      </w:r>
      <w:r>
        <w:t>cational education and training.</w:t>
      </w:r>
      <w:r w:rsidRPr="001D42C6">
        <w:t xml:space="preserve"> </w:t>
      </w:r>
      <w:r>
        <w:t>It</w:t>
      </w:r>
      <w:r w:rsidRPr="001D42C6">
        <w:t xml:space="preserve"> look</w:t>
      </w:r>
      <w:r>
        <w:t>s</w:t>
      </w:r>
      <w:r w:rsidRPr="001D42C6">
        <w:t xml:space="preserve"> at the preparation of younger people and adults for technical and professional jobs. Key policy challenges include responsiveness to labour market needs, alongside inclusion, access, career guidance, finance, governance, teaching quality, integration with workplace learning, articulation with other sectors of education, and qualifications and assessment. </w:t>
      </w:r>
      <w:r>
        <w:t>The review builds</w:t>
      </w:r>
      <w:r w:rsidRPr="001D42C6">
        <w:t xml:space="preserve"> on the success of Learning for Jobs – which examined vocational education and training policy through 17 country reviews and a comparative report - and forms part of the horizontal OECD Skills Strategy linked to PIAAC and other initiatives across the OECD. It also draws on the OECD review of tertiary education.</w:t>
      </w:r>
    </w:p>
    <w:p w14:paraId="79BE58B3" w14:textId="79CD8031" w:rsidR="001D42C6" w:rsidRDefault="001D42C6" w:rsidP="00C400FE">
      <w:pPr>
        <w:jc w:val="both"/>
      </w:pPr>
      <w:r>
        <w:t>This report synthesises the findings of the series of  country reports done on skills beyond school.</w:t>
      </w:r>
    </w:p>
    <w:p w14:paraId="165DD101" w14:textId="6AB399FF" w:rsidR="001D42C6" w:rsidRDefault="001D42C6" w:rsidP="00CC2B4C">
      <w:pPr>
        <w:pStyle w:val="Lijstalinea"/>
        <w:numPr>
          <w:ilvl w:val="0"/>
          <w:numId w:val="6"/>
        </w:numPr>
      </w:pPr>
      <w:r>
        <w:lastRenderedPageBreak/>
        <w:t>Chapter 1. The hidden world of professional education and training</w:t>
      </w:r>
    </w:p>
    <w:p w14:paraId="2827BE26" w14:textId="0727A960" w:rsidR="001D42C6" w:rsidRDefault="001D42C6" w:rsidP="00CC2B4C">
      <w:pPr>
        <w:pStyle w:val="Lijstalinea"/>
        <w:numPr>
          <w:ilvl w:val="0"/>
          <w:numId w:val="6"/>
        </w:numPr>
      </w:pPr>
      <w:r>
        <w:t>Chapter 2. Enhancing the profile of professional education and training</w:t>
      </w:r>
    </w:p>
    <w:p w14:paraId="17B686C8" w14:textId="17998445" w:rsidR="001D42C6" w:rsidRDefault="001D42C6" w:rsidP="00CC2B4C">
      <w:pPr>
        <w:pStyle w:val="Lijstalinea"/>
        <w:numPr>
          <w:ilvl w:val="0"/>
          <w:numId w:val="6"/>
        </w:numPr>
      </w:pPr>
      <w:r>
        <w:t>Chapter 3. Three key elements of high-quality post-secondary programmes</w:t>
      </w:r>
    </w:p>
    <w:p w14:paraId="505D6B5D" w14:textId="77740DF9" w:rsidR="001D42C6" w:rsidRDefault="001D42C6" w:rsidP="00CC2B4C">
      <w:pPr>
        <w:pStyle w:val="Lijstalinea"/>
        <w:numPr>
          <w:ilvl w:val="0"/>
          <w:numId w:val="6"/>
        </w:numPr>
      </w:pPr>
      <w:r>
        <w:t>Chapter 4. Transparency in learning outcomes</w:t>
      </w:r>
    </w:p>
    <w:p w14:paraId="2AECBE48" w14:textId="3A491187" w:rsidR="001D42C6" w:rsidRDefault="001D42C6" w:rsidP="00CC2B4C">
      <w:pPr>
        <w:pStyle w:val="Lijstalinea"/>
        <w:numPr>
          <w:ilvl w:val="0"/>
          <w:numId w:val="6"/>
        </w:numPr>
      </w:pPr>
      <w:r>
        <w:t>Chapter 5. Clearer pathways for learners</w:t>
      </w:r>
    </w:p>
    <w:p w14:paraId="5C6E4A0D" w14:textId="45BE5931" w:rsidR="001D42C6" w:rsidRDefault="001D42C6" w:rsidP="00CC2B4C">
      <w:pPr>
        <w:pStyle w:val="Lijstalinea"/>
        <w:numPr>
          <w:ilvl w:val="0"/>
          <w:numId w:val="6"/>
        </w:numPr>
      </w:pPr>
      <w:r>
        <w:t>Chapter 6. Key characteristics of effective vocational systems</w:t>
      </w:r>
    </w:p>
    <w:p w14:paraId="42475616" w14:textId="6858E8A7" w:rsidR="001D42C6" w:rsidRPr="00A1263B" w:rsidRDefault="001D42C6" w:rsidP="001D42C6">
      <w:r>
        <w:t xml:space="preserve">The report, summary and policy recommendations at </w:t>
      </w:r>
      <w:hyperlink r:id="rId14" w:history="1">
        <w:r w:rsidRPr="00BB24F1">
          <w:rPr>
            <w:rStyle w:val="Hyperlink"/>
          </w:rPr>
          <w:t>http://www.oecd.org/edu/skills-beyond-school/skills-beyond-schools-synthesis-report.htm</w:t>
        </w:r>
      </w:hyperlink>
      <w:r>
        <w:t xml:space="preserve"> </w:t>
      </w:r>
    </w:p>
    <w:p w14:paraId="00AF8D56" w14:textId="367304E6" w:rsidR="00F73DA5" w:rsidRDefault="00B961FA" w:rsidP="00B961FA">
      <w:pPr>
        <w:pStyle w:val="Kop1"/>
      </w:pPr>
      <w:r>
        <w:t>Education policy outlook</w:t>
      </w:r>
    </w:p>
    <w:p w14:paraId="415A99E3" w14:textId="6AB132AA" w:rsidR="00B961FA" w:rsidRDefault="00B961FA" w:rsidP="00B961FA"/>
    <w:p w14:paraId="6EFCB8BB" w14:textId="77777777" w:rsidR="00B961FA" w:rsidRDefault="00B961FA" w:rsidP="00B961FA">
      <w:pPr>
        <w:jc w:val="both"/>
      </w:pPr>
      <w:r>
        <w:t xml:space="preserve">The OECD has published two new profiles of the Education Policy Outlook series: </w:t>
      </w:r>
      <w:r w:rsidRPr="00B961FA">
        <w:t>The Netherlands and Portugal</w:t>
      </w:r>
      <w:r>
        <w:t xml:space="preserve">. </w:t>
      </w:r>
      <w:r w:rsidRPr="00B961FA">
        <w:t xml:space="preserve"> </w:t>
      </w:r>
      <w:r>
        <w:t xml:space="preserve">Already </w:t>
      </w:r>
      <w:r w:rsidRPr="00B961FA">
        <w:t xml:space="preserve"> 15 profiles </w:t>
      </w:r>
      <w:r>
        <w:t xml:space="preserve">have been </w:t>
      </w:r>
      <w:r w:rsidRPr="00B961FA">
        <w:t>published.</w:t>
      </w:r>
    </w:p>
    <w:p w14:paraId="6E2A4B2D" w14:textId="77777777" w:rsidR="00B961FA" w:rsidRDefault="00B961FA" w:rsidP="00B961FA">
      <w:pPr>
        <w:jc w:val="both"/>
      </w:pPr>
      <w:r w:rsidRPr="00B961FA">
        <w:t xml:space="preserve">Each profile reviews the current context and situation of the country’s education system and examines its challenges and policy responses according to 6 policy areas, building on the work of the OECD Directorate for Education and Skills. </w:t>
      </w:r>
    </w:p>
    <w:p w14:paraId="6E77430A" w14:textId="6792F77B" w:rsidR="00B961FA" w:rsidRDefault="008D6372" w:rsidP="00B961FA">
      <w:pPr>
        <w:jc w:val="both"/>
        <w:rPr>
          <w:b/>
          <w:bCs/>
        </w:rPr>
      </w:pPr>
      <w:hyperlink r:id="rId15" w:history="1">
        <w:r w:rsidR="00B961FA" w:rsidRPr="00BB24F1">
          <w:rPr>
            <w:rStyle w:val="Hyperlink"/>
          </w:rPr>
          <w:t>www.oecd.org/edu/policyoutlook.htm</w:t>
        </w:r>
      </w:hyperlink>
      <w:r w:rsidR="00B961FA" w:rsidRPr="00B961FA">
        <w:t>.</w:t>
      </w:r>
      <w:r w:rsidR="00B961FA">
        <w:rPr>
          <w:b/>
          <w:bCs/>
        </w:rPr>
        <w:t xml:space="preserve"> </w:t>
      </w:r>
      <w:bookmarkStart w:id="0" w:name="_GoBack"/>
      <w:bookmarkEnd w:id="0"/>
    </w:p>
    <w:sectPr w:rsidR="00B961FA" w:rsidSect="009162B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54F0" w14:textId="77777777" w:rsidR="00DB62A9" w:rsidRDefault="00DB62A9" w:rsidP="001A562D">
      <w:pPr>
        <w:spacing w:after="0" w:line="240" w:lineRule="auto"/>
      </w:pPr>
      <w:r>
        <w:separator/>
      </w:r>
    </w:p>
  </w:endnote>
  <w:endnote w:type="continuationSeparator" w:id="0">
    <w:p w14:paraId="5DB254F1" w14:textId="77777777"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8D6372" w:rsidRPr="008D6372">
          <w:rPr>
            <w:noProof/>
            <w:lang w:val="nl-NL"/>
          </w:rPr>
          <w:t>1</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54EE" w14:textId="77777777" w:rsidR="00DB62A9" w:rsidRDefault="00DB62A9" w:rsidP="001A562D">
      <w:pPr>
        <w:spacing w:after="0" w:line="240" w:lineRule="auto"/>
      </w:pPr>
      <w:r>
        <w:separator/>
      </w:r>
    </w:p>
  </w:footnote>
  <w:footnote w:type="continuationSeparator" w:id="0">
    <w:p w14:paraId="5DB254EF" w14:textId="77777777" w:rsidR="00DB62A9" w:rsidRDefault="00DB62A9"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54F2" w14:textId="4D1E6817" w:rsidR="00834D9A" w:rsidRDefault="00B961FA">
    <w:pPr>
      <w:pStyle w:val="Koptekst"/>
    </w:pPr>
    <w:r>
      <w:t>EUN/2014/DOC/071</w:t>
    </w:r>
  </w:p>
  <w:p w14:paraId="5DB254F3" w14:textId="3424A97A" w:rsidR="00834D9A" w:rsidRDefault="00B961FA">
    <w:pPr>
      <w:pStyle w:val="Koptekst"/>
    </w:pPr>
    <w:r>
      <w:t>2 December</w:t>
    </w:r>
    <w:r w:rsidR="00834D9A">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5B"/>
    <w:multiLevelType w:val="multilevel"/>
    <w:tmpl w:val="1CC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C26372D"/>
    <w:multiLevelType w:val="hybridMultilevel"/>
    <w:tmpl w:val="FB0481F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60107F35"/>
    <w:multiLevelType w:val="hybridMultilevel"/>
    <w:tmpl w:val="F5E019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C35D11"/>
    <w:multiLevelType w:val="hybridMultilevel"/>
    <w:tmpl w:val="4EE6499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7">
    <w:nsid w:val="68D8013E"/>
    <w:multiLevelType w:val="hybridMultilevel"/>
    <w:tmpl w:val="B038CC3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252950"/>
    <w:multiLevelType w:val="hybridMultilevel"/>
    <w:tmpl w:val="24A6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7"/>
  </w:num>
  <w:num w:numId="7">
    <w:abstractNumId w:val="4"/>
  </w:num>
  <w:num w:numId="8">
    <w:abstractNumId w:val="5"/>
  </w:num>
  <w:num w:numId="9">
    <w:abstractNumId w:val="2"/>
  </w:num>
  <w:num w:numId="10">
    <w:abstractNumId w:val="3"/>
    <w:lvlOverride w:ilvl="0">
      <w:startOverride w:val="1"/>
    </w:lvlOverride>
  </w:num>
  <w:num w:numId="11">
    <w:abstractNumId w:val="3"/>
    <w:lvlOverride w:ilvl="0">
      <w:startOverride w:val="1"/>
    </w:lvlOverride>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3"/>
    <w:rsid w:val="00001C37"/>
    <w:rsid w:val="00001E92"/>
    <w:rsid w:val="00016826"/>
    <w:rsid w:val="00022247"/>
    <w:rsid w:val="00022345"/>
    <w:rsid w:val="000227C1"/>
    <w:rsid w:val="0002567D"/>
    <w:rsid w:val="000316AA"/>
    <w:rsid w:val="000445F9"/>
    <w:rsid w:val="00056D64"/>
    <w:rsid w:val="0008328A"/>
    <w:rsid w:val="00083B6D"/>
    <w:rsid w:val="000A2CC7"/>
    <w:rsid w:val="000A3C82"/>
    <w:rsid w:val="000A5E4E"/>
    <w:rsid w:val="000B6094"/>
    <w:rsid w:val="000E19D2"/>
    <w:rsid w:val="000E259E"/>
    <w:rsid w:val="000F26A3"/>
    <w:rsid w:val="000F7FFC"/>
    <w:rsid w:val="00115186"/>
    <w:rsid w:val="0012199B"/>
    <w:rsid w:val="00125C21"/>
    <w:rsid w:val="001428FC"/>
    <w:rsid w:val="00142B48"/>
    <w:rsid w:val="0014455D"/>
    <w:rsid w:val="0014694D"/>
    <w:rsid w:val="001619C9"/>
    <w:rsid w:val="0016512C"/>
    <w:rsid w:val="00167BCA"/>
    <w:rsid w:val="00171871"/>
    <w:rsid w:val="0019588E"/>
    <w:rsid w:val="001A2E00"/>
    <w:rsid w:val="001A33C3"/>
    <w:rsid w:val="001A562D"/>
    <w:rsid w:val="001A6B6C"/>
    <w:rsid w:val="001B4D12"/>
    <w:rsid w:val="001D42C6"/>
    <w:rsid w:val="001E013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2FA4"/>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24162"/>
    <w:rsid w:val="00736833"/>
    <w:rsid w:val="007371FD"/>
    <w:rsid w:val="00742BB0"/>
    <w:rsid w:val="00756340"/>
    <w:rsid w:val="007975A0"/>
    <w:rsid w:val="007A24AC"/>
    <w:rsid w:val="007B3B0E"/>
    <w:rsid w:val="007B5186"/>
    <w:rsid w:val="007C262E"/>
    <w:rsid w:val="007C3C55"/>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D6372"/>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263B"/>
    <w:rsid w:val="00A14749"/>
    <w:rsid w:val="00A40916"/>
    <w:rsid w:val="00A4730A"/>
    <w:rsid w:val="00A51132"/>
    <w:rsid w:val="00A52830"/>
    <w:rsid w:val="00A539D6"/>
    <w:rsid w:val="00A612D6"/>
    <w:rsid w:val="00A63D3C"/>
    <w:rsid w:val="00A74634"/>
    <w:rsid w:val="00A845A3"/>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37D65"/>
    <w:rsid w:val="00B42CEF"/>
    <w:rsid w:val="00B656CF"/>
    <w:rsid w:val="00B95CDF"/>
    <w:rsid w:val="00B961FA"/>
    <w:rsid w:val="00BB719D"/>
    <w:rsid w:val="00BB7F4C"/>
    <w:rsid w:val="00BC134D"/>
    <w:rsid w:val="00BC2240"/>
    <w:rsid w:val="00BC53B0"/>
    <w:rsid w:val="00BC53B9"/>
    <w:rsid w:val="00BD1022"/>
    <w:rsid w:val="00BF102D"/>
    <w:rsid w:val="00BF4B2C"/>
    <w:rsid w:val="00C00445"/>
    <w:rsid w:val="00C00CBB"/>
    <w:rsid w:val="00C12F4F"/>
    <w:rsid w:val="00C16C66"/>
    <w:rsid w:val="00C16CC4"/>
    <w:rsid w:val="00C400FE"/>
    <w:rsid w:val="00C44A32"/>
    <w:rsid w:val="00C50F63"/>
    <w:rsid w:val="00C53D96"/>
    <w:rsid w:val="00C62759"/>
    <w:rsid w:val="00C63BD8"/>
    <w:rsid w:val="00C67942"/>
    <w:rsid w:val="00C91C14"/>
    <w:rsid w:val="00CB6E4E"/>
    <w:rsid w:val="00CC17CD"/>
    <w:rsid w:val="00CC2B4C"/>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957FA"/>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5876"/>
    <w:rsid w:val="00F765C0"/>
    <w:rsid w:val="00F8045C"/>
    <w:rsid w:val="00F82102"/>
    <w:rsid w:val="00F86ABE"/>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15:docId w15:val="{2471E24F-6D61-4BD1-8CD6-EE2BAE5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4"/>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72971">
      <w:bodyDiv w:val="1"/>
      <w:marLeft w:val="0"/>
      <w:marRight w:val="0"/>
      <w:marTop w:val="0"/>
      <w:marBottom w:val="0"/>
      <w:divBdr>
        <w:top w:val="none" w:sz="0" w:space="0" w:color="auto"/>
        <w:left w:val="none" w:sz="0" w:space="0" w:color="auto"/>
        <w:bottom w:val="none" w:sz="0" w:space="0" w:color="auto"/>
        <w:right w:val="none" w:sz="0" w:space="0" w:color="auto"/>
      </w:divBdr>
      <w:divsChild>
        <w:div w:id="463668475">
          <w:marLeft w:val="0"/>
          <w:marRight w:val="0"/>
          <w:marTop w:val="0"/>
          <w:marBottom w:val="0"/>
          <w:divBdr>
            <w:top w:val="none" w:sz="0" w:space="0" w:color="auto"/>
            <w:left w:val="none" w:sz="0" w:space="0" w:color="auto"/>
            <w:bottom w:val="none" w:sz="0" w:space="0" w:color="auto"/>
            <w:right w:val="none" w:sz="0" w:space="0" w:color="auto"/>
          </w:divBdr>
          <w:divsChild>
            <w:div w:id="1102451991">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sChild>
                    <w:div w:id="658997036">
                      <w:marLeft w:val="0"/>
                      <w:marRight w:val="0"/>
                      <w:marTop w:val="0"/>
                      <w:marBottom w:val="0"/>
                      <w:divBdr>
                        <w:top w:val="none" w:sz="0" w:space="0" w:color="auto"/>
                        <w:left w:val="none" w:sz="0" w:space="0" w:color="auto"/>
                        <w:bottom w:val="none" w:sz="0" w:space="0" w:color="auto"/>
                        <w:right w:val="none" w:sz="0" w:space="0" w:color="auto"/>
                      </w:divBdr>
                      <w:divsChild>
                        <w:div w:id="2007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281004">
      <w:bodyDiv w:val="1"/>
      <w:marLeft w:val="0"/>
      <w:marRight w:val="0"/>
      <w:marTop w:val="0"/>
      <w:marBottom w:val="0"/>
      <w:divBdr>
        <w:top w:val="none" w:sz="0" w:space="0" w:color="auto"/>
        <w:left w:val="none" w:sz="0" w:space="0" w:color="auto"/>
        <w:bottom w:val="none" w:sz="0" w:space="0" w:color="auto"/>
        <w:right w:val="none" w:sz="0" w:space="0" w:color="auto"/>
      </w:divBdr>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02365965">
      <w:bodyDiv w:val="1"/>
      <w:marLeft w:val="0"/>
      <w:marRight w:val="0"/>
      <w:marTop w:val="0"/>
      <w:marBottom w:val="0"/>
      <w:divBdr>
        <w:top w:val="none" w:sz="0" w:space="0" w:color="auto"/>
        <w:left w:val="none" w:sz="0" w:space="0" w:color="auto"/>
        <w:bottom w:val="none" w:sz="0" w:space="0" w:color="auto"/>
        <w:right w:val="none" w:sz="0" w:space="0" w:color="auto"/>
      </w:divBdr>
      <w:divsChild>
        <w:div w:id="684134273">
          <w:marLeft w:val="0"/>
          <w:marRight w:val="0"/>
          <w:marTop w:val="0"/>
          <w:marBottom w:val="0"/>
          <w:divBdr>
            <w:top w:val="none" w:sz="0" w:space="0" w:color="auto"/>
            <w:left w:val="none" w:sz="0" w:space="0" w:color="auto"/>
            <w:bottom w:val="none" w:sz="0" w:space="0" w:color="auto"/>
            <w:right w:val="none" w:sz="0" w:space="0" w:color="auto"/>
          </w:divBdr>
          <w:divsChild>
            <w:div w:id="1569460253">
              <w:marLeft w:val="0"/>
              <w:marRight w:val="0"/>
              <w:marTop w:val="0"/>
              <w:marBottom w:val="0"/>
              <w:divBdr>
                <w:top w:val="none" w:sz="0" w:space="0" w:color="auto"/>
                <w:left w:val="none" w:sz="0" w:space="0" w:color="auto"/>
                <w:bottom w:val="none" w:sz="0" w:space="0" w:color="auto"/>
                <w:right w:val="none" w:sz="0" w:space="0" w:color="auto"/>
              </w:divBdr>
              <w:divsChild>
                <w:div w:id="1186871175">
                  <w:marLeft w:val="0"/>
                  <w:marRight w:val="0"/>
                  <w:marTop w:val="0"/>
                  <w:marBottom w:val="0"/>
                  <w:divBdr>
                    <w:top w:val="none" w:sz="0" w:space="0" w:color="auto"/>
                    <w:left w:val="none" w:sz="0" w:space="0" w:color="auto"/>
                    <w:bottom w:val="none" w:sz="0" w:space="0" w:color="auto"/>
                    <w:right w:val="none" w:sz="0" w:space="0" w:color="auto"/>
                  </w:divBdr>
                  <w:divsChild>
                    <w:div w:id="356809391">
                      <w:marLeft w:val="0"/>
                      <w:marRight w:val="0"/>
                      <w:marTop w:val="0"/>
                      <w:marBottom w:val="0"/>
                      <w:divBdr>
                        <w:top w:val="none" w:sz="0" w:space="0" w:color="auto"/>
                        <w:left w:val="none" w:sz="0" w:space="0" w:color="auto"/>
                        <w:bottom w:val="none" w:sz="0" w:space="0" w:color="auto"/>
                        <w:right w:val="none" w:sz="0" w:space="0" w:color="auto"/>
                      </w:divBdr>
                      <w:divsChild>
                        <w:div w:id="1509757990">
                          <w:marLeft w:val="0"/>
                          <w:marRight w:val="0"/>
                          <w:marTop w:val="0"/>
                          <w:marBottom w:val="0"/>
                          <w:divBdr>
                            <w:top w:val="none" w:sz="0" w:space="0" w:color="auto"/>
                            <w:left w:val="none" w:sz="0" w:space="0" w:color="auto"/>
                            <w:bottom w:val="none" w:sz="0" w:space="0" w:color="auto"/>
                            <w:right w:val="none" w:sz="0" w:space="0" w:color="auto"/>
                          </w:divBdr>
                          <w:divsChild>
                            <w:div w:id="290941281">
                              <w:marLeft w:val="0"/>
                              <w:marRight w:val="0"/>
                              <w:marTop w:val="0"/>
                              <w:marBottom w:val="0"/>
                              <w:divBdr>
                                <w:top w:val="none" w:sz="0" w:space="0" w:color="auto"/>
                                <w:left w:val="none" w:sz="0" w:space="0" w:color="auto"/>
                                <w:bottom w:val="none" w:sz="0" w:space="0" w:color="auto"/>
                                <w:right w:val="none" w:sz="0" w:space="0" w:color="auto"/>
                              </w:divBdr>
                              <w:divsChild>
                                <w:div w:id="1563056885">
                                  <w:marLeft w:val="0"/>
                                  <w:marRight w:val="0"/>
                                  <w:marTop w:val="0"/>
                                  <w:marBottom w:val="0"/>
                                  <w:divBdr>
                                    <w:top w:val="none" w:sz="0" w:space="0" w:color="auto"/>
                                    <w:left w:val="none" w:sz="0" w:space="0" w:color="auto"/>
                                    <w:bottom w:val="none" w:sz="0" w:space="0" w:color="auto"/>
                                    <w:right w:val="none" w:sz="0" w:space="0" w:color="auto"/>
                                  </w:divBdr>
                                  <w:divsChild>
                                    <w:div w:id="962417275">
                                      <w:marLeft w:val="0"/>
                                      <w:marRight w:val="0"/>
                                      <w:marTop w:val="0"/>
                                      <w:marBottom w:val="0"/>
                                      <w:divBdr>
                                        <w:top w:val="none" w:sz="0" w:space="0" w:color="auto"/>
                                        <w:left w:val="none" w:sz="0" w:space="0" w:color="auto"/>
                                        <w:bottom w:val="none" w:sz="0" w:space="0" w:color="auto"/>
                                        <w:right w:val="none" w:sz="0" w:space="0" w:color="auto"/>
                                      </w:divBdr>
                                      <w:divsChild>
                                        <w:div w:id="1260524780">
                                          <w:marLeft w:val="0"/>
                                          <w:marRight w:val="0"/>
                                          <w:marTop w:val="0"/>
                                          <w:marBottom w:val="0"/>
                                          <w:divBdr>
                                            <w:top w:val="none" w:sz="0" w:space="0" w:color="auto"/>
                                            <w:left w:val="none" w:sz="0" w:space="0" w:color="auto"/>
                                            <w:bottom w:val="none" w:sz="0" w:space="0" w:color="auto"/>
                                            <w:right w:val="none" w:sz="0" w:space="0" w:color="auto"/>
                                          </w:divBdr>
                                          <w:divsChild>
                                            <w:div w:id="1162543886">
                                              <w:marLeft w:val="0"/>
                                              <w:marRight w:val="0"/>
                                              <w:marTop w:val="0"/>
                                              <w:marBottom w:val="0"/>
                                              <w:divBdr>
                                                <w:top w:val="none" w:sz="0" w:space="0" w:color="auto"/>
                                                <w:left w:val="none" w:sz="0" w:space="0" w:color="auto"/>
                                                <w:bottom w:val="none" w:sz="0" w:space="0" w:color="auto"/>
                                                <w:right w:val="none" w:sz="0" w:space="0" w:color="auto"/>
                                              </w:divBdr>
                                              <w:divsChild>
                                                <w:div w:id="1407190817">
                                                  <w:marLeft w:val="0"/>
                                                  <w:marRight w:val="0"/>
                                                  <w:marTop w:val="0"/>
                                                  <w:marBottom w:val="0"/>
                                                  <w:divBdr>
                                                    <w:top w:val="none" w:sz="0" w:space="0" w:color="auto"/>
                                                    <w:left w:val="none" w:sz="0" w:space="0" w:color="auto"/>
                                                    <w:bottom w:val="none" w:sz="0" w:space="0" w:color="auto"/>
                                                    <w:right w:val="none" w:sz="0" w:space="0" w:color="auto"/>
                                                  </w:divBdr>
                                                </w:div>
                                                <w:div w:id="1104417157">
                                                  <w:marLeft w:val="0"/>
                                                  <w:marRight w:val="0"/>
                                                  <w:marTop w:val="0"/>
                                                  <w:marBottom w:val="0"/>
                                                  <w:divBdr>
                                                    <w:top w:val="none" w:sz="0" w:space="0" w:color="auto"/>
                                                    <w:left w:val="none" w:sz="0" w:space="0" w:color="auto"/>
                                                    <w:bottom w:val="none" w:sz="0" w:space="0" w:color="auto"/>
                                                    <w:right w:val="none" w:sz="0" w:space="0" w:color="auto"/>
                                                  </w:divBdr>
                                                  <w:divsChild>
                                                    <w:div w:id="822501554">
                                                      <w:marLeft w:val="390"/>
                                                      <w:marRight w:val="0"/>
                                                      <w:marTop w:val="0"/>
                                                      <w:marBottom w:val="0"/>
                                                      <w:divBdr>
                                                        <w:top w:val="none" w:sz="0" w:space="0" w:color="auto"/>
                                                        <w:left w:val="none" w:sz="0" w:space="0" w:color="auto"/>
                                                        <w:bottom w:val="none" w:sz="0" w:space="0" w:color="auto"/>
                                                        <w:right w:val="none" w:sz="0" w:space="0" w:color="auto"/>
                                                      </w:divBdr>
                                                    </w:div>
                                                  </w:divsChild>
                                                </w:div>
                                                <w:div w:id="1765374244">
                                                  <w:marLeft w:val="0"/>
                                                  <w:marRight w:val="0"/>
                                                  <w:marTop w:val="0"/>
                                                  <w:marBottom w:val="0"/>
                                                  <w:divBdr>
                                                    <w:top w:val="none" w:sz="0" w:space="0" w:color="auto"/>
                                                    <w:left w:val="none" w:sz="0" w:space="0" w:color="auto"/>
                                                    <w:bottom w:val="none" w:sz="0" w:space="0" w:color="auto"/>
                                                    <w:right w:val="none" w:sz="0" w:space="0" w:color="auto"/>
                                                  </w:divBdr>
                                                  <w:divsChild>
                                                    <w:div w:id="1745175443">
                                                      <w:marLeft w:val="390"/>
                                                      <w:marRight w:val="0"/>
                                                      <w:marTop w:val="0"/>
                                                      <w:marBottom w:val="0"/>
                                                      <w:divBdr>
                                                        <w:top w:val="none" w:sz="0" w:space="0" w:color="auto"/>
                                                        <w:left w:val="none" w:sz="0" w:space="0" w:color="auto"/>
                                                        <w:bottom w:val="none" w:sz="0" w:space="0" w:color="auto"/>
                                                        <w:right w:val="none" w:sz="0" w:space="0" w:color="auto"/>
                                                      </w:divBdr>
                                                    </w:div>
                                                  </w:divsChild>
                                                </w:div>
                                                <w:div w:id="1386370883">
                                                  <w:marLeft w:val="0"/>
                                                  <w:marRight w:val="0"/>
                                                  <w:marTop w:val="0"/>
                                                  <w:marBottom w:val="0"/>
                                                  <w:divBdr>
                                                    <w:top w:val="none" w:sz="0" w:space="0" w:color="auto"/>
                                                    <w:left w:val="none" w:sz="0" w:space="0" w:color="auto"/>
                                                    <w:bottom w:val="none" w:sz="0" w:space="0" w:color="auto"/>
                                                    <w:right w:val="none" w:sz="0" w:space="0" w:color="auto"/>
                                                  </w:divBdr>
                                                  <w:divsChild>
                                                    <w:div w:id="323818046">
                                                      <w:marLeft w:val="390"/>
                                                      <w:marRight w:val="0"/>
                                                      <w:marTop w:val="0"/>
                                                      <w:marBottom w:val="0"/>
                                                      <w:divBdr>
                                                        <w:top w:val="none" w:sz="0" w:space="0" w:color="auto"/>
                                                        <w:left w:val="none" w:sz="0" w:space="0" w:color="auto"/>
                                                        <w:bottom w:val="none" w:sz="0" w:space="0" w:color="auto"/>
                                                        <w:right w:val="none" w:sz="0" w:space="0" w:color="auto"/>
                                                      </w:divBdr>
                                                    </w:div>
                                                  </w:divsChild>
                                                </w:div>
                                                <w:div w:id="1467433485">
                                                  <w:marLeft w:val="0"/>
                                                  <w:marRight w:val="0"/>
                                                  <w:marTop w:val="0"/>
                                                  <w:marBottom w:val="0"/>
                                                  <w:divBdr>
                                                    <w:top w:val="none" w:sz="0" w:space="0" w:color="auto"/>
                                                    <w:left w:val="none" w:sz="0" w:space="0" w:color="auto"/>
                                                    <w:bottom w:val="none" w:sz="0" w:space="0" w:color="auto"/>
                                                    <w:right w:val="none" w:sz="0" w:space="0" w:color="auto"/>
                                                  </w:divBdr>
                                                  <w:divsChild>
                                                    <w:div w:id="2033526452">
                                                      <w:marLeft w:val="390"/>
                                                      <w:marRight w:val="0"/>
                                                      <w:marTop w:val="0"/>
                                                      <w:marBottom w:val="0"/>
                                                      <w:divBdr>
                                                        <w:top w:val="none" w:sz="0" w:space="0" w:color="auto"/>
                                                        <w:left w:val="none" w:sz="0" w:space="0" w:color="auto"/>
                                                        <w:bottom w:val="none" w:sz="0" w:space="0" w:color="auto"/>
                                                        <w:right w:val="none" w:sz="0" w:space="0" w:color="auto"/>
                                                      </w:divBdr>
                                                    </w:div>
                                                  </w:divsChild>
                                                </w:div>
                                                <w:div w:id="1574124111">
                                                  <w:marLeft w:val="0"/>
                                                  <w:marRight w:val="0"/>
                                                  <w:marTop w:val="0"/>
                                                  <w:marBottom w:val="0"/>
                                                  <w:divBdr>
                                                    <w:top w:val="none" w:sz="0" w:space="0" w:color="auto"/>
                                                    <w:left w:val="none" w:sz="0" w:space="0" w:color="auto"/>
                                                    <w:bottom w:val="none" w:sz="0" w:space="0" w:color="auto"/>
                                                    <w:right w:val="none" w:sz="0" w:space="0" w:color="auto"/>
                                                  </w:divBdr>
                                                  <w:divsChild>
                                                    <w:div w:id="1126118049">
                                                      <w:marLeft w:val="390"/>
                                                      <w:marRight w:val="0"/>
                                                      <w:marTop w:val="0"/>
                                                      <w:marBottom w:val="0"/>
                                                      <w:divBdr>
                                                        <w:top w:val="none" w:sz="0" w:space="0" w:color="auto"/>
                                                        <w:left w:val="none" w:sz="0" w:space="0" w:color="auto"/>
                                                        <w:bottom w:val="none" w:sz="0" w:space="0" w:color="auto"/>
                                                        <w:right w:val="none" w:sz="0" w:space="0" w:color="auto"/>
                                                      </w:divBdr>
                                                    </w:div>
                                                  </w:divsChild>
                                                </w:div>
                                                <w:div w:id="353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ecd.org/edu/policyoutlook.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edu/skills-beyond-school/skills-beyond-schools-synthesis-report.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QM5P4ZDXZJVS-295-731</_dlc_DocId>
    <_dlc_DocIdUrl xmlns="ca35f6fb-1165-4b91-a168-522f87563d43">
      <Url>http://vlor05/eunec/_layouts/DocIdRedir.aspx?ID=QM5P4ZDXZJVS-295-731</Url>
      <Description>QM5P4ZDXZJVS-295-731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a35f6fb-1165-4b91-a168-522f87563d43"/>
    <ds:schemaRef ds:uri="http://www.w3.org/XML/1998/namespace"/>
    <ds:schemaRef ds:uri="http://purl.org/dc/dcmitype/"/>
  </ds:schemaRefs>
</ds:datastoreItem>
</file>

<file path=customXml/itemProps5.xml><?xml version="1.0" encoding="utf-8"?>
<ds:datastoreItem xmlns:ds="http://schemas.openxmlformats.org/officeDocument/2006/customXml" ds:itemID="{FCF9310E-0F20-4E0F-B411-E6945E9F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2014-11-21T10:21:00Z</cp:lastPrinted>
  <dcterms:created xsi:type="dcterms:W3CDTF">2014-12-17T14:48:00Z</dcterms:created>
  <dcterms:modified xsi:type="dcterms:W3CDTF">2014-12-17T14:48:00Z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d8e21a78-4bad-4673-98fc-4d17a3f6ecef</vt:lpwstr>
  </property>
  <property fmtid="{D5CDD505-2E9C-101B-9397-08002B2CF9AE}" pid="3" name="ContentTypeId">
    <vt:lpwstr>0x010100A0185E1655F778428D3215E143105017</vt:lpwstr>
  </property>
</Properties>
</file>