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74385" w14:textId="77777777" w:rsidR="00245496" w:rsidRDefault="00245496" w:rsidP="00245496">
      <w:pPr>
        <w:pStyle w:val="Titel"/>
        <w:ind w:left="1416"/>
        <w:jc w:val="left"/>
      </w:pPr>
      <w:r w:rsidRPr="00946161">
        <w:t>Main Policy Lines in Education and Training</w:t>
      </w:r>
    </w:p>
    <w:p w14:paraId="64B5C009" w14:textId="5F6C80F0" w:rsidR="0072116E" w:rsidRPr="00383923" w:rsidRDefault="00245496" w:rsidP="00383923">
      <w:pPr>
        <w:pStyle w:val="Titel"/>
        <w:rPr>
          <w:lang w:val="nl-BE"/>
        </w:rPr>
      </w:pPr>
      <w:r w:rsidRPr="006A1F79">
        <w:rPr>
          <w:lang w:val="nl-BE"/>
        </w:rPr>
        <w:t>(</w:t>
      </w:r>
      <w:r w:rsidR="00393784">
        <w:rPr>
          <w:lang w:val="nl-BE"/>
        </w:rPr>
        <w:t>November</w:t>
      </w:r>
      <w:r w:rsidR="0072116E">
        <w:rPr>
          <w:lang w:val="nl-BE"/>
        </w:rPr>
        <w:t xml:space="preserve"> 2014 – April</w:t>
      </w:r>
      <w:r>
        <w:rPr>
          <w:lang w:val="nl-BE"/>
        </w:rPr>
        <w:t xml:space="preserve"> 2015</w:t>
      </w:r>
      <w:r w:rsidRPr="006A1F79">
        <w:rPr>
          <w:lang w:val="nl-BE"/>
        </w:rPr>
        <w:t>)</w:t>
      </w:r>
    </w:p>
    <w:p w14:paraId="784AA3DA" w14:textId="77777777" w:rsidR="0072116E" w:rsidRPr="00DB5C3F" w:rsidRDefault="0072116E" w:rsidP="00DB5C3F">
      <w:pPr>
        <w:jc w:val="both"/>
        <w:rPr>
          <w:lang w:val="en-GB"/>
        </w:rPr>
      </w:pPr>
    </w:p>
    <w:p w14:paraId="2BF77E69" w14:textId="215F44B1" w:rsidR="002A14CC" w:rsidRPr="0072116E" w:rsidRDefault="00245496" w:rsidP="0072116E">
      <w:pPr>
        <w:pStyle w:val="Lijstalinea"/>
        <w:keepNext/>
        <w:keepLines/>
        <w:numPr>
          <w:ilvl w:val="0"/>
          <w:numId w:val="1"/>
        </w:numPr>
        <w:spacing w:before="240" w:after="240" w:line="280" w:lineRule="exact"/>
        <w:jc w:val="center"/>
        <w:rPr>
          <w:rFonts w:ascii="Verdana" w:eastAsia="Times New Roman" w:hAnsi="Verdana" w:cs="Times New Roman"/>
          <w:b/>
          <w:color w:val="808080"/>
          <w:kern w:val="28"/>
          <w:sz w:val="28"/>
          <w:szCs w:val="20"/>
          <w:lang w:val="en-GB" w:eastAsia="nl-NL"/>
        </w:rPr>
      </w:pPr>
      <w:r w:rsidRPr="00DB5C3F">
        <w:rPr>
          <w:rFonts w:ascii="Verdana" w:eastAsia="Times New Roman" w:hAnsi="Verdana" w:cs="Times New Roman"/>
          <w:b/>
          <w:color w:val="808080"/>
          <w:kern w:val="28"/>
          <w:sz w:val="28"/>
          <w:szCs w:val="20"/>
          <w:lang w:val="en-GB" w:eastAsia="nl-NL"/>
        </w:rPr>
        <w:t>UNESCO</w:t>
      </w:r>
    </w:p>
    <w:p w14:paraId="1ECEE6E1" w14:textId="77777777" w:rsidR="002A14CC" w:rsidRPr="00DB5C3F" w:rsidRDefault="002A14CC" w:rsidP="002A14CC">
      <w:pPr>
        <w:pStyle w:val="Lijstalinea"/>
        <w:keepNext/>
        <w:keepLines/>
        <w:spacing w:before="240" w:after="240" w:line="280" w:lineRule="exact"/>
        <w:ind w:left="1080"/>
        <w:rPr>
          <w:rFonts w:ascii="Verdana" w:eastAsia="Times New Roman" w:hAnsi="Verdana" w:cs="Times New Roman"/>
          <w:b/>
          <w:color w:val="808080"/>
          <w:kern w:val="28"/>
          <w:sz w:val="28"/>
          <w:szCs w:val="20"/>
          <w:lang w:val="en-GB" w:eastAsia="nl-NL"/>
        </w:rPr>
      </w:pPr>
    </w:p>
    <w:p w14:paraId="222907C2" w14:textId="5C95833C" w:rsidR="00245496" w:rsidRPr="002A14CC" w:rsidRDefault="004170F5" w:rsidP="007B166F">
      <w:pPr>
        <w:pStyle w:val="Lijstalinea"/>
        <w:keepNext/>
        <w:keepLines/>
        <w:numPr>
          <w:ilvl w:val="0"/>
          <w:numId w:val="22"/>
        </w:numPr>
        <w:spacing w:before="480" w:after="0"/>
        <w:jc w:val="both"/>
        <w:outlineLvl w:val="0"/>
        <w:rPr>
          <w:rFonts w:asciiTheme="majorHAnsi" w:eastAsia="Times New Roman" w:hAnsiTheme="majorHAnsi" w:cstheme="majorBidi"/>
          <w:b/>
          <w:bCs/>
          <w:color w:val="365F91" w:themeColor="accent1" w:themeShade="BF"/>
          <w:sz w:val="28"/>
          <w:szCs w:val="28"/>
          <w:lang w:val="en-GB"/>
        </w:rPr>
      </w:pPr>
      <w:r w:rsidRPr="002A14CC">
        <w:rPr>
          <w:rFonts w:asciiTheme="majorHAnsi" w:eastAsia="Times New Roman" w:hAnsiTheme="majorHAnsi" w:cstheme="majorBidi"/>
          <w:b/>
          <w:bCs/>
          <w:color w:val="365F91" w:themeColor="accent1" w:themeShade="BF"/>
          <w:sz w:val="28"/>
          <w:szCs w:val="28"/>
          <w:lang w:val="en-GB"/>
        </w:rPr>
        <w:t>Fixing the broken promise of education for all</w:t>
      </w:r>
    </w:p>
    <w:p w14:paraId="0F945464" w14:textId="51EB8E76" w:rsidR="004170F5" w:rsidRPr="00EC024C" w:rsidRDefault="004170F5" w:rsidP="00476EB1">
      <w:pPr>
        <w:jc w:val="both"/>
        <w:rPr>
          <w:lang w:val="en-GB"/>
        </w:rPr>
      </w:pPr>
      <w:r w:rsidRPr="00EC024C">
        <w:rPr>
          <w:lang w:val="en-GB"/>
        </w:rPr>
        <w:t>Findings from the Global Initiative on Out-of-Scho</w:t>
      </w:r>
      <w:r w:rsidR="00577CE4">
        <w:rPr>
          <w:lang w:val="en-GB"/>
        </w:rPr>
        <w:t>ol Children, UNICEF report, 19 J</w:t>
      </w:r>
      <w:r w:rsidRPr="00EC024C">
        <w:rPr>
          <w:lang w:val="en-GB"/>
        </w:rPr>
        <w:t>anuary 2015</w:t>
      </w:r>
    </w:p>
    <w:p w14:paraId="5ECDE570" w14:textId="30DFDB93" w:rsidR="004170F5" w:rsidRPr="00EC024C" w:rsidRDefault="004170F5" w:rsidP="00476EB1">
      <w:pPr>
        <w:jc w:val="both"/>
        <w:rPr>
          <w:lang w:val="en-GB"/>
        </w:rPr>
      </w:pPr>
      <w:r w:rsidRPr="00EC024C">
        <w:rPr>
          <w:lang w:val="en-GB"/>
        </w:rPr>
        <w:t xml:space="preserve">Despite the international community’s pledge that every child would complete primary school by 2015, about 121 million children and young adolescents are denied their right to education, according to this new report from the UNESCO Institute for Statistics and UNICEF. The report draws on studies from a diverse group of countries participating in the </w:t>
      </w:r>
      <w:hyperlink r:id="rId12" w:history="1">
        <w:r w:rsidRPr="00EC024C">
          <w:rPr>
            <w:rStyle w:val="Hyperlink"/>
            <w:lang w:val="en-GB"/>
          </w:rPr>
          <w:t>Global Initiative on Out-of-School Children.</w:t>
        </w:r>
      </w:hyperlink>
      <w:r w:rsidRPr="00EC024C">
        <w:rPr>
          <w:lang w:val="en-GB"/>
        </w:rPr>
        <w:t xml:space="preserve"> It serves as a roadmap to improve the data, research and policies needed to catalyse action for out-of-school children as the world embarks on a new development agenda for education. </w:t>
      </w:r>
    </w:p>
    <w:p w14:paraId="38AF8B76" w14:textId="671C0D12" w:rsidR="004170F5" w:rsidRPr="0072116E" w:rsidRDefault="00383923" w:rsidP="00476EB1">
      <w:pPr>
        <w:jc w:val="both"/>
        <w:rPr>
          <w:lang w:val="en-GB"/>
        </w:rPr>
      </w:pPr>
      <w:hyperlink r:id="rId13" w:history="1">
        <w:r w:rsidR="004170F5" w:rsidRPr="0072116E">
          <w:rPr>
            <w:rStyle w:val="Hyperlink"/>
            <w:lang w:val="en-GB"/>
          </w:rPr>
          <w:t>The full report</w:t>
        </w:r>
      </w:hyperlink>
      <w:r w:rsidR="0072116E" w:rsidRPr="0072116E">
        <w:rPr>
          <w:lang w:val="en-GB"/>
        </w:rPr>
        <w:t xml:space="preserve"> and the </w:t>
      </w:r>
      <w:hyperlink r:id="rId14" w:history="1">
        <w:r w:rsidR="004170F5" w:rsidRPr="0072116E">
          <w:rPr>
            <w:rStyle w:val="Hyperlink"/>
            <w:lang w:val="en-GB"/>
          </w:rPr>
          <w:t>Executive Summary</w:t>
        </w:r>
      </w:hyperlink>
      <w:r w:rsidR="004170F5" w:rsidRPr="0072116E">
        <w:rPr>
          <w:lang w:val="en-GB"/>
        </w:rPr>
        <w:t xml:space="preserve"> </w:t>
      </w:r>
    </w:p>
    <w:p w14:paraId="488E7A53" w14:textId="0554A284" w:rsidR="002A14CC" w:rsidRPr="002A14CC" w:rsidRDefault="002A14CC" w:rsidP="007B166F">
      <w:pPr>
        <w:pStyle w:val="Lijstalinea"/>
        <w:keepNext/>
        <w:keepLines/>
        <w:numPr>
          <w:ilvl w:val="0"/>
          <w:numId w:val="22"/>
        </w:numPr>
        <w:spacing w:before="480" w:after="0"/>
        <w:jc w:val="both"/>
        <w:outlineLvl w:val="0"/>
        <w:rPr>
          <w:rFonts w:asciiTheme="majorHAnsi" w:eastAsia="Times New Roman" w:hAnsiTheme="majorHAnsi" w:cstheme="majorBidi"/>
          <w:b/>
          <w:bCs/>
          <w:color w:val="365F91" w:themeColor="accent1" w:themeShade="BF"/>
          <w:sz w:val="28"/>
          <w:szCs w:val="28"/>
          <w:lang w:val="en-GB"/>
        </w:rPr>
      </w:pPr>
      <w:r w:rsidRPr="002A14CC">
        <w:rPr>
          <w:rFonts w:asciiTheme="majorHAnsi" w:eastAsia="Times New Roman" w:hAnsiTheme="majorHAnsi" w:cstheme="majorBidi"/>
          <w:b/>
          <w:bCs/>
          <w:color w:val="365F91" w:themeColor="accent1" w:themeShade="BF"/>
          <w:sz w:val="28"/>
          <w:szCs w:val="28"/>
          <w:lang w:val="en-GB"/>
        </w:rPr>
        <w:t>A guide for gender equality in teacher education. Policy and practices.</w:t>
      </w:r>
    </w:p>
    <w:p w14:paraId="20AA658A" w14:textId="3657159C" w:rsidR="004170F5" w:rsidRPr="002A14CC" w:rsidRDefault="0011491E" w:rsidP="004170F5">
      <w:pPr>
        <w:rPr>
          <w:lang w:val="en-GB"/>
        </w:rPr>
      </w:pPr>
      <w:r>
        <w:rPr>
          <w:lang w:val="en-GB"/>
        </w:rPr>
        <w:t>February 2015</w:t>
      </w:r>
    </w:p>
    <w:p w14:paraId="115159CC" w14:textId="72C4E831" w:rsidR="004170F5" w:rsidRDefault="0011491E" w:rsidP="00C27562">
      <w:pPr>
        <w:jc w:val="both"/>
        <w:rPr>
          <w:lang w:val="en-GB"/>
        </w:rPr>
      </w:pPr>
      <w:r>
        <w:rPr>
          <w:lang w:val="en-GB"/>
        </w:rPr>
        <w:t xml:space="preserve">This guide has been conceived as a tool to introduce the gender perspective to all aspects of teacher education and training, notably policy and planning, administration and management, gender-responsive budgeting, curriculum development, pedagogy and instructional materials, support services, monitoring and evaluation. Gender equality in and through teacher education is the ultimate goal of this guide. </w:t>
      </w:r>
    </w:p>
    <w:p w14:paraId="265700C2" w14:textId="6B1AF792" w:rsidR="0011491E" w:rsidRDefault="00383923" w:rsidP="004170F5">
      <w:pPr>
        <w:rPr>
          <w:rStyle w:val="Hyperlink"/>
          <w:lang w:val="en-GB"/>
        </w:rPr>
      </w:pPr>
      <w:hyperlink r:id="rId15" w:history="1">
        <w:r w:rsidR="0011491E" w:rsidRPr="009F2B27">
          <w:rPr>
            <w:rStyle w:val="Hyperlink"/>
            <w:lang w:val="en-GB"/>
          </w:rPr>
          <w:t>http://unesdoc.unesco.org/images/0023/002316/231646e.pdf</w:t>
        </w:r>
      </w:hyperlink>
    </w:p>
    <w:p w14:paraId="717EF07D" w14:textId="38B7219D" w:rsidR="00A22EA7" w:rsidRPr="00A22EA7" w:rsidRDefault="00A22EA7" w:rsidP="00A22EA7">
      <w:pPr>
        <w:pStyle w:val="Lijstalinea"/>
        <w:keepNext/>
        <w:keepLines/>
        <w:numPr>
          <w:ilvl w:val="0"/>
          <w:numId w:val="22"/>
        </w:numPr>
        <w:spacing w:before="480" w:after="0"/>
        <w:jc w:val="both"/>
        <w:outlineLvl w:val="0"/>
        <w:rPr>
          <w:rFonts w:asciiTheme="majorHAnsi" w:eastAsia="Times New Roman" w:hAnsiTheme="majorHAnsi" w:cstheme="majorBidi"/>
          <w:b/>
          <w:bCs/>
          <w:color w:val="365F91" w:themeColor="accent1" w:themeShade="BF"/>
          <w:sz w:val="28"/>
          <w:szCs w:val="28"/>
          <w:lang w:val="en-GB"/>
        </w:rPr>
      </w:pPr>
      <w:r w:rsidRPr="00A22EA7">
        <w:rPr>
          <w:rFonts w:asciiTheme="majorHAnsi" w:eastAsia="Times New Roman" w:hAnsiTheme="majorHAnsi" w:cstheme="majorBidi"/>
          <w:b/>
          <w:bCs/>
          <w:color w:val="365F91" w:themeColor="accent1" w:themeShade="BF"/>
          <w:sz w:val="28"/>
          <w:szCs w:val="28"/>
          <w:lang w:val="en-GB"/>
        </w:rPr>
        <w:t>ICT in primary education</w:t>
      </w:r>
    </w:p>
    <w:p w14:paraId="2C36430D" w14:textId="3B856DA1" w:rsidR="00A22EA7" w:rsidRDefault="00A22EA7" w:rsidP="004170F5">
      <w:pPr>
        <w:rPr>
          <w:lang w:val="en-GB"/>
        </w:rPr>
      </w:pPr>
      <w:r>
        <w:rPr>
          <w:lang w:val="en-GB"/>
        </w:rPr>
        <w:t>UNESCO IITE (Institute for Information Technologies in Education)</w:t>
      </w:r>
    </w:p>
    <w:p w14:paraId="38E8A904" w14:textId="173AC4A6" w:rsidR="00A22EA7" w:rsidRDefault="00A22EA7" w:rsidP="004170F5">
      <w:pPr>
        <w:rPr>
          <w:lang w:val="en-GB"/>
        </w:rPr>
      </w:pPr>
      <w:r>
        <w:rPr>
          <w:lang w:val="en-GB"/>
        </w:rPr>
        <w:t xml:space="preserve">This 2014 ‘Analytical survey volume 2: Policy, Practices and Recommendations’ is a continuation of the first report of the IITE project ‘ICT in primary education’ launched in 2011. </w:t>
      </w:r>
      <w:r w:rsidR="0072116E">
        <w:rPr>
          <w:lang w:val="en-GB"/>
        </w:rPr>
        <w:t xml:space="preserve">The goal of the project is to facilitate the policy dialogue and to build a foundation for effective primary education through ICT. The report describes a number of emerging technologies and new pedagogical methods; it presents examples of promising practices. </w:t>
      </w:r>
      <w:r>
        <w:rPr>
          <w:lang w:val="en-GB"/>
        </w:rPr>
        <w:t xml:space="preserve">In this second stage of the project, the set of sample schools was extended to 37 schools from 20 different countries. </w:t>
      </w:r>
    </w:p>
    <w:p w14:paraId="3E104682" w14:textId="5AF8DACC" w:rsidR="0011491E" w:rsidRPr="002A14CC" w:rsidRDefault="00383923" w:rsidP="004170F5">
      <w:pPr>
        <w:rPr>
          <w:lang w:val="en-GB"/>
        </w:rPr>
      </w:pPr>
      <w:hyperlink r:id="rId16" w:history="1">
        <w:r w:rsidR="00A22EA7" w:rsidRPr="00A22EA7">
          <w:rPr>
            <w:rStyle w:val="Hyperlink"/>
            <w:lang w:val="en-GB"/>
          </w:rPr>
          <w:t>The report</w:t>
        </w:r>
      </w:hyperlink>
    </w:p>
    <w:p w14:paraId="3CDECC2E" w14:textId="77777777" w:rsidR="004170F5" w:rsidRPr="002A14CC" w:rsidRDefault="004170F5" w:rsidP="004170F5">
      <w:pPr>
        <w:pStyle w:val="Lijstalinea"/>
        <w:keepNext/>
        <w:keepLines/>
        <w:spacing w:before="480" w:after="0"/>
        <w:jc w:val="both"/>
        <w:outlineLvl w:val="0"/>
        <w:rPr>
          <w:rFonts w:asciiTheme="majorHAnsi" w:eastAsia="Times New Roman" w:hAnsiTheme="majorHAnsi" w:cstheme="majorBidi"/>
          <w:b/>
          <w:bCs/>
          <w:color w:val="365F91" w:themeColor="accent1" w:themeShade="BF"/>
          <w:sz w:val="28"/>
          <w:szCs w:val="28"/>
          <w:lang w:val="en-GB"/>
        </w:rPr>
      </w:pPr>
    </w:p>
    <w:p w14:paraId="51F85583" w14:textId="278A1A31" w:rsidR="00A22EA7" w:rsidRDefault="00A22EA7" w:rsidP="00975A29">
      <w:pPr>
        <w:keepNext/>
        <w:keepLines/>
        <w:spacing w:before="240" w:after="240" w:line="280" w:lineRule="exact"/>
        <w:rPr>
          <w:lang w:val="en-GB" w:eastAsia="nl-NL"/>
        </w:rPr>
      </w:pPr>
      <w:bookmarkStart w:id="0" w:name="_GoBack"/>
      <w:bookmarkEnd w:id="0"/>
    </w:p>
    <w:p w14:paraId="71CB83BF" w14:textId="77777777" w:rsidR="00A22EA7" w:rsidRDefault="00A22EA7" w:rsidP="00975A29">
      <w:pPr>
        <w:keepNext/>
        <w:keepLines/>
        <w:spacing w:before="240" w:after="240" w:line="280" w:lineRule="exact"/>
        <w:rPr>
          <w:lang w:val="en-GB" w:eastAsia="nl-NL"/>
        </w:rPr>
      </w:pPr>
    </w:p>
    <w:p w14:paraId="7A6887DD" w14:textId="77777777" w:rsidR="00A22EA7" w:rsidRDefault="00A22EA7" w:rsidP="00975A29">
      <w:pPr>
        <w:keepNext/>
        <w:keepLines/>
        <w:spacing w:before="240" w:after="240" w:line="280" w:lineRule="exact"/>
        <w:rPr>
          <w:lang w:val="en-GB" w:eastAsia="nl-NL"/>
        </w:rPr>
      </w:pPr>
    </w:p>
    <w:p w14:paraId="58CFBCBC" w14:textId="77777777" w:rsidR="00A22EA7" w:rsidRDefault="00A22EA7" w:rsidP="00975A29">
      <w:pPr>
        <w:keepNext/>
        <w:keepLines/>
        <w:spacing w:before="240" w:after="240" w:line="280" w:lineRule="exact"/>
        <w:rPr>
          <w:lang w:val="en-GB" w:eastAsia="nl-NL"/>
        </w:rPr>
      </w:pPr>
    </w:p>
    <w:p w14:paraId="2E19C987" w14:textId="77777777" w:rsidR="00A22EA7" w:rsidRDefault="00A22EA7" w:rsidP="00975A29">
      <w:pPr>
        <w:keepNext/>
        <w:keepLines/>
        <w:spacing w:before="240" w:after="240" w:line="280" w:lineRule="exact"/>
        <w:rPr>
          <w:lang w:val="en-GB" w:eastAsia="nl-NL"/>
        </w:rPr>
      </w:pPr>
    </w:p>
    <w:p w14:paraId="5D91AB61" w14:textId="77777777" w:rsidR="00A22EA7" w:rsidRDefault="00A22EA7" w:rsidP="00975A29">
      <w:pPr>
        <w:keepNext/>
        <w:keepLines/>
        <w:spacing w:before="240" w:after="240" w:line="280" w:lineRule="exact"/>
        <w:rPr>
          <w:lang w:val="en-GB" w:eastAsia="nl-NL"/>
        </w:rPr>
      </w:pPr>
    </w:p>
    <w:p w14:paraId="4C8DEFF9" w14:textId="77777777" w:rsidR="00A22EA7" w:rsidRPr="00EC024C" w:rsidRDefault="00A22EA7" w:rsidP="00975A29">
      <w:pPr>
        <w:keepNext/>
        <w:keepLines/>
        <w:spacing w:before="240" w:after="240" w:line="280" w:lineRule="exact"/>
        <w:rPr>
          <w:lang w:val="en-GB" w:eastAsia="nl-NL"/>
        </w:rPr>
      </w:pPr>
    </w:p>
    <w:p w14:paraId="0B2E9BD2" w14:textId="77777777" w:rsidR="00975A29" w:rsidRPr="00EC024C" w:rsidRDefault="00975A29" w:rsidP="00975A29">
      <w:pPr>
        <w:keepNext/>
        <w:keepLines/>
        <w:spacing w:before="240" w:after="240" w:line="280" w:lineRule="exact"/>
        <w:rPr>
          <w:lang w:val="en-GB" w:eastAsia="nl-NL"/>
        </w:rPr>
      </w:pPr>
    </w:p>
    <w:sectPr w:rsidR="00975A29" w:rsidRPr="00EC024C">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35CFC" w14:textId="77777777" w:rsidR="007E2BF5" w:rsidRDefault="007E2BF5" w:rsidP="00245496">
      <w:pPr>
        <w:spacing w:after="0" w:line="240" w:lineRule="auto"/>
      </w:pPr>
      <w:r>
        <w:separator/>
      </w:r>
    </w:p>
  </w:endnote>
  <w:endnote w:type="continuationSeparator" w:id="0">
    <w:p w14:paraId="0A590346" w14:textId="77777777" w:rsidR="007E2BF5" w:rsidRDefault="007E2BF5" w:rsidP="0024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73B06BB7" w14:textId="60A0DE7F" w:rsidR="002A2F9C" w:rsidRDefault="002A2F9C">
        <w:pPr>
          <w:pStyle w:val="Voettekst"/>
        </w:pPr>
        <w:r>
          <w:fldChar w:fldCharType="begin"/>
        </w:r>
        <w:r>
          <w:instrText>PAGE   \* MERGEFORMAT</w:instrText>
        </w:r>
        <w:r>
          <w:fldChar w:fldCharType="separate"/>
        </w:r>
        <w:r w:rsidR="00383923">
          <w:rPr>
            <w:noProof/>
          </w:rPr>
          <w:t>1</w:t>
        </w:r>
        <w:r>
          <w:fldChar w:fldCharType="end"/>
        </w:r>
      </w:p>
    </w:sdtContent>
  </w:sdt>
  <w:p w14:paraId="3963B043" w14:textId="77777777" w:rsidR="002A2F9C" w:rsidRDefault="002A2F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5EEFD" w14:textId="77777777" w:rsidR="007E2BF5" w:rsidRDefault="007E2BF5" w:rsidP="00245496">
      <w:pPr>
        <w:spacing w:after="0" w:line="240" w:lineRule="auto"/>
      </w:pPr>
      <w:r>
        <w:separator/>
      </w:r>
    </w:p>
  </w:footnote>
  <w:footnote w:type="continuationSeparator" w:id="0">
    <w:p w14:paraId="5C007F04" w14:textId="77777777" w:rsidR="007E2BF5" w:rsidRDefault="007E2BF5" w:rsidP="00245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19AF" w14:textId="40471103" w:rsidR="007E2BF5" w:rsidRDefault="007E2BF5" w:rsidP="00245496">
    <w:pPr>
      <w:pStyle w:val="Koptekst"/>
    </w:pPr>
    <w:r>
      <w:t>EUN/2014/DOC/006</w:t>
    </w:r>
  </w:p>
  <w:p w14:paraId="38D1FF94" w14:textId="176A764D" w:rsidR="007E2BF5" w:rsidRDefault="007E2BF5" w:rsidP="00245496">
    <w:pPr>
      <w:pStyle w:val="Koptekst"/>
    </w:pPr>
    <w:r>
      <w:t>May 2015</w:t>
    </w:r>
  </w:p>
  <w:p w14:paraId="2EBE031F" w14:textId="76CF0AF3" w:rsidR="007E2BF5" w:rsidRDefault="007E2BF5">
    <w:pPr>
      <w:pStyle w:val="Koptekst"/>
    </w:pPr>
    <w:r>
      <w:rPr>
        <w:noProof/>
        <w:lang w:val="nl-BE" w:eastAsia="nl-BE"/>
      </w:rPr>
      <w:drawing>
        <wp:anchor distT="0" distB="0" distL="114300" distR="114300" simplePos="0" relativeHeight="251661312" behindDoc="0" locked="0" layoutInCell="1" allowOverlap="1" wp14:anchorId="3F2921A2" wp14:editId="6A5B00E1">
          <wp:simplePos x="0" y="0"/>
          <wp:positionH relativeFrom="column">
            <wp:posOffset>3397250</wp:posOffset>
          </wp:positionH>
          <wp:positionV relativeFrom="paragraph">
            <wp:posOffset>71120</wp:posOffset>
          </wp:positionV>
          <wp:extent cx="2533650" cy="1308100"/>
          <wp:effectExtent l="0" t="0" r="0" b="6350"/>
          <wp:wrapSquare wrapText="bothSides"/>
          <wp:docPr id="99" name="Afbeelding 99"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A8AC9" w14:textId="7FE409DB" w:rsidR="007E2BF5" w:rsidRDefault="007E2BF5">
    <w:pPr>
      <w:pStyle w:val="Koptekst"/>
    </w:pPr>
    <w:r>
      <w:rPr>
        <w:noProof/>
        <w:lang w:val="nl-BE" w:eastAsia="nl-BE"/>
      </w:rPr>
      <w:drawing>
        <wp:anchor distT="0" distB="0" distL="114300" distR="114300" simplePos="0" relativeHeight="251659264" behindDoc="0" locked="0" layoutInCell="1" allowOverlap="1" wp14:anchorId="79253CB0" wp14:editId="2D40C718">
          <wp:simplePos x="0" y="0"/>
          <wp:positionH relativeFrom="margin">
            <wp:align>left</wp:align>
          </wp:positionH>
          <wp:positionV relativeFrom="paragraph">
            <wp:posOffset>279400</wp:posOffset>
          </wp:positionV>
          <wp:extent cx="3244850" cy="927735"/>
          <wp:effectExtent l="0" t="0" r="0" b="5715"/>
          <wp:wrapSquare wrapText="bothSides"/>
          <wp:docPr id="98" name="Afbeelding 98" descr="C:\Users\CDS.vlor\Desktop\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DS.vlor\Desktop\eu_flag_co_funded_pos_[rgb]_righ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4485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E4735" w14:textId="037951B7" w:rsidR="007E2BF5" w:rsidRDefault="007E2BF5">
    <w:pPr>
      <w:pStyle w:val="Koptekst"/>
    </w:pPr>
  </w:p>
  <w:p w14:paraId="1BAABF99" w14:textId="678DBDDE" w:rsidR="007E2BF5" w:rsidRDefault="007E2BF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08"/>
    <w:multiLevelType w:val="hybridMultilevel"/>
    <w:tmpl w:val="426C970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6D2190"/>
    <w:multiLevelType w:val="hybridMultilevel"/>
    <w:tmpl w:val="B920888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0653EC"/>
    <w:multiLevelType w:val="hybridMultilevel"/>
    <w:tmpl w:val="B2D2B11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D0244C7"/>
    <w:multiLevelType w:val="hybridMultilevel"/>
    <w:tmpl w:val="ACC447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326275"/>
    <w:multiLevelType w:val="hybridMultilevel"/>
    <w:tmpl w:val="EE3028C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0AF1E68"/>
    <w:multiLevelType w:val="hybridMultilevel"/>
    <w:tmpl w:val="E49274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8C25902"/>
    <w:multiLevelType w:val="hybridMultilevel"/>
    <w:tmpl w:val="CCDEF5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8C621E"/>
    <w:multiLevelType w:val="hybridMultilevel"/>
    <w:tmpl w:val="5134B6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048777D"/>
    <w:multiLevelType w:val="multilevel"/>
    <w:tmpl w:val="AC420C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3B4B26"/>
    <w:multiLevelType w:val="hybridMultilevel"/>
    <w:tmpl w:val="F93CF9E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091385"/>
    <w:multiLevelType w:val="multilevel"/>
    <w:tmpl w:val="053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D0E92"/>
    <w:multiLevelType w:val="hybridMultilevel"/>
    <w:tmpl w:val="767CD8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41F351DB"/>
    <w:multiLevelType w:val="hybridMultilevel"/>
    <w:tmpl w:val="2684E5B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3626A2"/>
    <w:multiLevelType w:val="hybridMultilevel"/>
    <w:tmpl w:val="5FE6565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D210FF"/>
    <w:multiLevelType w:val="hybridMultilevel"/>
    <w:tmpl w:val="6DC807C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4DD51A14"/>
    <w:multiLevelType w:val="hybridMultilevel"/>
    <w:tmpl w:val="2EEEC63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74B2ACE"/>
    <w:multiLevelType w:val="hybridMultilevel"/>
    <w:tmpl w:val="C65AEF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F6F7A1E"/>
    <w:multiLevelType w:val="hybridMultilevel"/>
    <w:tmpl w:val="516AC62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21"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ED70460"/>
    <w:multiLevelType w:val="hybridMultilevel"/>
    <w:tmpl w:val="DA208C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1"/>
  </w:num>
  <w:num w:numId="2">
    <w:abstractNumId w:val="5"/>
  </w:num>
  <w:num w:numId="3">
    <w:abstractNumId w:val="19"/>
  </w:num>
  <w:num w:numId="4">
    <w:abstractNumId w:val="0"/>
  </w:num>
  <w:num w:numId="5">
    <w:abstractNumId w:val="15"/>
  </w:num>
  <w:num w:numId="6">
    <w:abstractNumId w:val="14"/>
  </w:num>
  <w:num w:numId="7">
    <w:abstractNumId w:val="7"/>
  </w:num>
  <w:num w:numId="8">
    <w:abstractNumId w:val="18"/>
  </w:num>
  <w:num w:numId="9">
    <w:abstractNumId w:val="10"/>
  </w:num>
  <w:num w:numId="10">
    <w:abstractNumId w:val="4"/>
  </w:num>
  <w:num w:numId="11">
    <w:abstractNumId w:val="12"/>
  </w:num>
  <w:num w:numId="12">
    <w:abstractNumId w:val="3"/>
  </w:num>
  <w:num w:numId="13">
    <w:abstractNumId w:val="6"/>
  </w:num>
  <w:num w:numId="14">
    <w:abstractNumId w:val="9"/>
  </w:num>
  <w:num w:numId="15">
    <w:abstractNumId w:val="13"/>
  </w:num>
  <w:num w:numId="16">
    <w:abstractNumId w:val="2"/>
  </w:num>
  <w:num w:numId="17">
    <w:abstractNumId w:val="1"/>
  </w:num>
  <w:num w:numId="18">
    <w:abstractNumId w:val="16"/>
  </w:num>
  <w:num w:numId="19">
    <w:abstractNumId w:val="20"/>
  </w:num>
  <w:num w:numId="20">
    <w:abstractNumId w:val="8"/>
  </w:num>
  <w:num w:numId="21">
    <w:abstractNumId w:val="17"/>
  </w:num>
  <w:num w:numId="22">
    <w:abstractNumId w:val="22"/>
  </w:num>
  <w:num w:numId="23">
    <w:abstractNumId w:val="19"/>
  </w:num>
  <w:num w:numId="24">
    <w:abstractNumId w:val="11"/>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83891"/>
    <w:rsid w:val="000B408C"/>
    <w:rsid w:val="000C2C87"/>
    <w:rsid w:val="0011491E"/>
    <w:rsid w:val="001502CF"/>
    <w:rsid w:val="00157121"/>
    <w:rsid w:val="00180AB8"/>
    <w:rsid w:val="002005BF"/>
    <w:rsid w:val="00245496"/>
    <w:rsid w:val="002870B6"/>
    <w:rsid w:val="002A14CC"/>
    <w:rsid w:val="002A2F9C"/>
    <w:rsid w:val="002B415B"/>
    <w:rsid w:val="002E59EE"/>
    <w:rsid w:val="00351AB2"/>
    <w:rsid w:val="00360EE8"/>
    <w:rsid w:val="00375AF6"/>
    <w:rsid w:val="00383923"/>
    <w:rsid w:val="00393784"/>
    <w:rsid w:val="004170F5"/>
    <w:rsid w:val="0043296E"/>
    <w:rsid w:val="00443D4E"/>
    <w:rsid w:val="00476EB1"/>
    <w:rsid w:val="00484017"/>
    <w:rsid w:val="004C0FCB"/>
    <w:rsid w:val="004C1E0D"/>
    <w:rsid w:val="004F6CA1"/>
    <w:rsid w:val="00501C8C"/>
    <w:rsid w:val="00566E76"/>
    <w:rsid w:val="00577CE4"/>
    <w:rsid w:val="005C52C9"/>
    <w:rsid w:val="00616DC7"/>
    <w:rsid w:val="0064135E"/>
    <w:rsid w:val="00652207"/>
    <w:rsid w:val="006559B1"/>
    <w:rsid w:val="00707197"/>
    <w:rsid w:val="0072116E"/>
    <w:rsid w:val="007B166F"/>
    <w:rsid w:val="007E2BF5"/>
    <w:rsid w:val="008B51B4"/>
    <w:rsid w:val="008D7BAD"/>
    <w:rsid w:val="00950233"/>
    <w:rsid w:val="00953C92"/>
    <w:rsid w:val="00975A29"/>
    <w:rsid w:val="009C4A23"/>
    <w:rsid w:val="00A22EA7"/>
    <w:rsid w:val="00A342DB"/>
    <w:rsid w:val="00AB322A"/>
    <w:rsid w:val="00AC04B2"/>
    <w:rsid w:val="00B067D8"/>
    <w:rsid w:val="00C170C0"/>
    <w:rsid w:val="00C27562"/>
    <w:rsid w:val="00C77F18"/>
    <w:rsid w:val="00C83E57"/>
    <w:rsid w:val="00D4036E"/>
    <w:rsid w:val="00DA0BEC"/>
    <w:rsid w:val="00DB5C3F"/>
    <w:rsid w:val="00E344F9"/>
    <w:rsid w:val="00E90D9E"/>
    <w:rsid w:val="00EC024C"/>
    <w:rsid w:val="00F22042"/>
    <w:rsid w:val="00FC55B6"/>
    <w:rsid w:val="00FF3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DFE"/>
  <w15:docId w15:val="{A646AA6A-DCC8-4FC7-9997-7908561D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4549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245496"/>
    <w:pPr>
      <w:keepNext/>
      <w:keepLines/>
      <w:numPr>
        <w:ilvl w:val="2"/>
        <w:numId w:val="3"/>
      </w:numPr>
      <w:spacing w:before="200" w:after="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3"/>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245496"/>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245496"/>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245496"/>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19"/>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is.unesco.org/Education/Documents/oosci-global-report-e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llinschoo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ite.unesco.org/pics/publications/en/files/321473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unesdoc.unesco.org/images/0023/002316/231646e.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llinschool.org/wp-content/uploads/2015/01/OOSC-EXECUTIVE-Summary-report-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13FA9F86F07527429109D07386E5939100212CADCB8E2E954A8BA8F33020E12661" ma:contentTypeVersion="1" ma:contentTypeDescription="" ma:contentTypeScope="" ma:versionID="085d0cf1a29f01aa2dab9f3e2fbb69d0">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QM5P4ZDXZJVS-295-761</_dlc_DocId>
    <_dlc_DocIdUrl xmlns="ca35f6fb-1165-4b91-a168-522f87563d43">
      <Url>http://vlor05/eunec/_layouts/DocIdRedir.aspx?ID=QM5P4ZDXZJVS-295-761</Url>
      <Description>QM5P4ZDXZJVS-295-761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2.xml><?xml version="1.0" encoding="utf-8"?>
<ds:datastoreItem xmlns:ds="http://schemas.openxmlformats.org/officeDocument/2006/customXml" ds:itemID="{0FF0042D-1B57-42DD-804E-422C7CE70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4.xml><?xml version="1.0" encoding="utf-8"?>
<ds:datastoreItem xmlns:ds="http://schemas.openxmlformats.org/officeDocument/2006/customXml" ds:itemID="{4315B425-94FE-4B49-84DB-E9F84E59956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a35f6fb-1165-4b91-a168-522f87563d43"/>
    <ds:schemaRef ds:uri="http://www.w3.org/XML/1998/namespace"/>
  </ds:schemaRefs>
</ds:datastoreItem>
</file>

<file path=customXml/itemProps5.xml><?xml version="1.0" encoding="utf-8"?>
<ds:datastoreItem xmlns:ds="http://schemas.openxmlformats.org/officeDocument/2006/customXml" ds:itemID="{966425F9-81EF-4BE5-BC8D-498B71C9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2015-02-03T13:48:00Z</cp:lastPrinted>
  <dcterms:created xsi:type="dcterms:W3CDTF">2015-09-18T14:36:00Z</dcterms:created>
  <dcterms:modified xsi:type="dcterms:W3CDTF">2015-09-18T14:36:00Z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0x01010013FA9F86F07527429109D07386E5939100212CADCB8E2E954A8BA8F33020E12661</vt:lpwstr>
  </property>
  <property fmtid="{D5CDD505-2E9C-101B-9397-08002B2CF9AE}" pid="3" name="_dlc_DocIdItemGuid">
    <vt:lpwstr>de4ac3db-eb2c-4dff-b952-507dcbc7a354</vt:lpwstr>
  </property>
</Properties>
</file>