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6ED95" w14:textId="2E251C6E" w:rsidR="00926D8B" w:rsidRPr="009F3831" w:rsidRDefault="00926D8B" w:rsidP="00926D8B">
      <w:pPr>
        <w:rPr>
          <w:color w:val="7F7F7F" w:themeColor="text1" w:themeTint="80"/>
        </w:rPr>
      </w:pPr>
    </w:p>
    <w:p w14:paraId="78CCC3C1" w14:textId="0674B601" w:rsidR="0035395A" w:rsidRPr="009F3831" w:rsidRDefault="0035395A" w:rsidP="00926D8B">
      <w:pPr>
        <w:jc w:val="center"/>
        <w:rPr>
          <w:rFonts w:eastAsiaTheme="minorEastAsia" w:cs="Arial"/>
          <w:color w:val="7F7F7F" w:themeColor="text1" w:themeTint="80"/>
          <w:lang w:val="en-GB" w:eastAsia="nl-BE"/>
        </w:rPr>
      </w:pPr>
    </w:p>
    <w:p w14:paraId="1BF68CD8" w14:textId="7932B780" w:rsidR="0035395A" w:rsidRPr="009F3831" w:rsidRDefault="0035395A" w:rsidP="0035395A">
      <w:pPr>
        <w:keepNext/>
        <w:keepLines/>
        <w:spacing w:before="240" w:after="240" w:line="280" w:lineRule="exact"/>
        <w:rPr>
          <w:rFonts w:eastAsia="Times New Roman" w:cs="Times New Roman"/>
          <w:b/>
          <w:color w:val="7F7F7F" w:themeColor="text1" w:themeTint="80"/>
          <w:kern w:val="28"/>
          <w:lang w:val="en-GB" w:eastAsia="nl-NL"/>
        </w:rPr>
      </w:pPr>
      <w:r w:rsidRPr="009F3831">
        <w:rPr>
          <w:rFonts w:eastAsia="Times New Roman" w:cs="Times New Roman"/>
          <w:b/>
          <w:noProof/>
          <w:color w:val="7F7F7F" w:themeColor="text1" w:themeTint="80"/>
          <w:kern w:val="28"/>
          <w:lang w:val="fr-CA" w:eastAsia="fr-CA"/>
        </w:rPr>
        <w:drawing>
          <wp:anchor distT="0" distB="0" distL="114300" distR="114300" simplePos="0" relativeHeight="251658240" behindDoc="0" locked="0" layoutInCell="1" allowOverlap="1" wp14:anchorId="7371F13B" wp14:editId="29B69EFD">
            <wp:simplePos x="0" y="0"/>
            <wp:positionH relativeFrom="column">
              <wp:posOffset>3367405</wp:posOffset>
            </wp:positionH>
            <wp:positionV relativeFrom="paragraph">
              <wp:posOffset>-461645</wp:posOffset>
            </wp:positionV>
            <wp:extent cx="2533650" cy="1308100"/>
            <wp:effectExtent l="0" t="0" r="0" b="6350"/>
            <wp:wrapSquare wrapText="bothSides"/>
            <wp:docPr id="2" name="Afbeelding 2" descr="C:\Users\CDS.vl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DS.vlor\Desktop\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D8D4A" w14:textId="4C7226A4" w:rsidR="003A5AC3" w:rsidRPr="009F3831" w:rsidRDefault="003A5AC3" w:rsidP="0035395A">
      <w:pPr>
        <w:keepNext/>
        <w:keepLines/>
        <w:spacing w:before="240" w:after="240" w:line="280" w:lineRule="exact"/>
        <w:jc w:val="center"/>
        <w:rPr>
          <w:rFonts w:eastAsia="Times New Roman" w:cs="Times New Roman"/>
          <w:b/>
          <w:color w:val="7F7F7F" w:themeColor="text1" w:themeTint="80"/>
          <w:kern w:val="28"/>
          <w:lang w:val="en-GB" w:eastAsia="nl-NL"/>
        </w:rPr>
      </w:pPr>
    </w:p>
    <w:p w14:paraId="52414B90" w14:textId="77777777" w:rsidR="00E84F83" w:rsidRPr="009F3831" w:rsidRDefault="00E84F83" w:rsidP="0035395A">
      <w:pPr>
        <w:keepNext/>
        <w:keepLines/>
        <w:spacing w:before="240" w:after="240" w:line="280" w:lineRule="exact"/>
        <w:jc w:val="center"/>
        <w:rPr>
          <w:rFonts w:eastAsia="Times New Roman" w:cs="Times New Roman"/>
          <w:b/>
          <w:color w:val="7F7F7F" w:themeColor="text1" w:themeTint="80"/>
          <w:kern w:val="28"/>
          <w:lang w:val="en-GB" w:eastAsia="nl-NL"/>
        </w:rPr>
      </w:pPr>
    </w:p>
    <w:p w14:paraId="5C7D0CD5" w14:textId="77777777" w:rsidR="003A5AC3" w:rsidRPr="009F3831" w:rsidRDefault="003A5AC3" w:rsidP="0035395A">
      <w:pPr>
        <w:keepNext/>
        <w:keepLines/>
        <w:spacing w:before="240" w:after="240" w:line="280" w:lineRule="exact"/>
        <w:jc w:val="center"/>
        <w:rPr>
          <w:rFonts w:eastAsia="Times New Roman" w:cs="Times New Roman"/>
          <w:b/>
          <w:color w:val="7F7F7F" w:themeColor="text1" w:themeTint="80"/>
          <w:kern w:val="28"/>
          <w:lang w:val="en-GB" w:eastAsia="nl-NL"/>
        </w:rPr>
      </w:pPr>
    </w:p>
    <w:p w14:paraId="4DEF1343" w14:textId="3E284D17" w:rsidR="0035395A" w:rsidRDefault="00DB67AD" w:rsidP="0035395A">
      <w:pPr>
        <w:keepNext/>
        <w:keepLines/>
        <w:spacing w:before="240" w:after="240" w:line="280" w:lineRule="exact"/>
        <w:jc w:val="center"/>
        <w:rPr>
          <w:rFonts w:eastAsia="Times New Roman" w:cs="Times New Roman"/>
          <w:b/>
          <w:color w:val="7F7F7F" w:themeColor="text1" w:themeTint="80"/>
          <w:kern w:val="28"/>
          <w:lang w:val="en-GB" w:eastAsia="nl-NL"/>
        </w:rPr>
      </w:pPr>
      <w:r w:rsidRPr="009F3831">
        <w:rPr>
          <w:rFonts w:eastAsia="Times New Roman" w:cs="Times New Roman"/>
          <w:b/>
          <w:color w:val="7F7F7F" w:themeColor="text1" w:themeTint="80"/>
          <w:kern w:val="28"/>
          <w:lang w:val="en-GB" w:eastAsia="nl-NL"/>
        </w:rPr>
        <w:t>Questionnaire on the positions of education councils regarding the Corona Crisis</w:t>
      </w:r>
    </w:p>
    <w:p w14:paraId="2B2247E5" w14:textId="0B3BFB19" w:rsidR="00BE6E81" w:rsidRPr="009F3831" w:rsidRDefault="00BE6E81" w:rsidP="0035395A">
      <w:pPr>
        <w:keepNext/>
        <w:keepLines/>
        <w:spacing w:before="240" w:after="240" w:line="280" w:lineRule="exact"/>
        <w:jc w:val="center"/>
        <w:rPr>
          <w:rFonts w:eastAsia="Times New Roman" w:cs="Times New Roman"/>
          <w:b/>
          <w:color w:val="7F7F7F" w:themeColor="text1" w:themeTint="80"/>
          <w:kern w:val="28"/>
          <w:lang w:val="en-GB" w:eastAsia="nl-NL"/>
        </w:rPr>
      </w:pPr>
      <w:r>
        <w:rPr>
          <w:rFonts w:eastAsia="Times New Roman" w:cs="Times New Roman"/>
          <w:b/>
          <w:color w:val="7F7F7F" w:themeColor="text1" w:themeTint="80"/>
          <w:kern w:val="28"/>
          <w:lang w:val="en-GB" w:eastAsia="nl-NL"/>
        </w:rPr>
        <w:t>Input by the Conseil Supérieur de l’Education, Québec</w:t>
      </w:r>
    </w:p>
    <w:p w14:paraId="393A77C9" w14:textId="1D2B9376" w:rsidR="00DB67AD" w:rsidRPr="009F3831" w:rsidRDefault="00DB67AD" w:rsidP="00DB67AD">
      <w:pPr>
        <w:pStyle w:val="Lijstalinea"/>
        <w:keepNext/>
        <w:keepLines/>
        <w:numPr>
          <w:ilvl w:val="0"/>
          <w:numId w:val="5"/>
        </w:numPr>
        <w:spacing w:before="240" w:after="240" w:line="280" w:lineRule="exact"/>
        <w:jc w:val="center"/>
        <w:rPr>
          <w:rFonts w:eastAsia="Times New Roman" w:cs="Times New Roman"/>
          <w:b/>
          <w:color w:val="7F7F7F" w:themeColor="text1" w:themeTint="80"/>
          <w:kern w:val="28"/>
          <w:lang w:val="en-GB" w:eastAsia="nl-NL"/>
        </w:rPr>
      </w:pPr>
      <w:r w:rsidRPr="009F3831">
        <w:rPr>
          <w:rFonts w:eastAsia="Times New Roman" w:cs="Times New Roman"/>
          <w:b/>
          <w:color w:val="7F7F7F" w:themeColor="text1" w:themeTint="80"/>
          <w:kern w:val="28"/>
          <w:lang w:val="en-GB" w:eastAsia="nl-NL"/>
        </w:rPr>
        <w:t xml:space="preserve">Policy issues </w:t>
      </w:r>
    </w:p>
    <w:p w14:paraId="146AB4AE" w14:textId="5406C642" w:rsidR="0074592C" w:rsidRPr="009F3831" w:rsidRDefault="00DB67AD" w:rsidP="00DB67AD">
      <w:pPr>
        <w:rPr>
          <w:color w:val="7F7F7F" w:themeColor="text1" w:themeTint="80"/>
          <w:highlight w:val="yellow"/>
          <w:lang w:val="en-US"/>
        </w:rPr>
      </w:pPr>
      <w:r w:rsidRPr="009F3831">
        <w:rPr>
          <w:color w:val="7F7F7F" w:themeColor="text1" w:themeTint="80"/>
          <w:highlight w:val="yellow"/>
          <w:lang w:val="en-GB"/>
        </w:rPr>
        <w:t xml:space="preserve">Describe the main policy issues regarding the </w:t>
      </w:r>
      <w:r w:rsidRPr="009F3831">
        <w:rPr>
          <w:color w:val="7F7F7F" w:themeColor="text1" w:themeTint="80"/>
          <w:highlight w:val="yellow"/>
          <w:lang w:val="en-US"/>
        </w:rPr>
        <w:t>COVID 19 education policy</w:t>
      </w:r>
    </w:p>
    <w:p w14:paraId="69D451B5" w14:textId="77A35F86" w:rsidR="0074592C" w:rsidRPr="009F3831" w:rsidRDefault="00DB67AD" w:rsidP="00E84F83">
      <w:pPr>
        <w:pStyle w:val="Lijstalinea"/>
        <w:numPr>
          <w:ilvl w:val="0"/>
          <w:numId w:val="7"/>
        </w:numPr>
        <w:rPr>
          <w:color w:val="7F7F7F" w:themeColor="text1" w:themeTint="80"/>
          <w:highlight w:val="yellow"/>
          <w:lang w:val="en-US"/>
        </w:rPr>
      </w:pPr>
      <w:r w:rsidRPr="009F3831">
        <w:rPr>
          <w:color w:val="7F7F7F" w:themeColor="text1" w:themeTint="80"/>
          <w:highlight w:val="yellow"/>
          <w:lang w:val="en-US"/>
        </w:rPr>
        <w:t xml:space="preserve">Which were the main measures adopted </w:t>
      </w:r>
      <w:r w:rsidR="0074592C" w:rsidRPr="009F3831">
        <w:rPr>
          <w:color w:val="7F7F7F" w:themeColor="text1" w:themeTint="80"/>
          <w:highlight w:val="yellow"/>
          <w:lang w:val="en-US"/>
        </w:rPr>
        <w:t xml:space="preserve">during </w:t>
      </w:r>
      <w:r w:rsidR="0074592C" w:rsidRPr="009F3831">
        <w:rPr>
          <w:color w:val="FF0000"/>
          <w:highlight w:val="yellow"/>
          <w:lang w:val="en-US"/>
        </w:rPr>
        <w:t xml:space="preserve">the lockdown </w:t>
      </w:r>
      <w:r w:rsidRPr="009F3831">
        <w:rPr>
          <w:color w:val="7F7F7F" w:themeColor="text1" w:themeTint="80"/>
          <w:highlight w:val="yellow"/>
          <w:lang w:val="en-US"/>
        </w:rPr>
        <w:t>(particularly those measures related to teaching and learning)</w:t>
      </w:r>
      <w:r w:rsidR="00E84F83" w:rsidRPr="009F3831">
        <w:rPr>
          <w:color w:val="7F7F7F" w:themeColor="text1" w:themeTint="80"/>
          <w:highlight w:val="yellow"/>
          <w:lang w:val="en-US"/>
        </w:rPr>
        <w:t xml:space="preserve">, </w:t>
      </w:r>
      <w:r w:rsidRPr="009F3831">
        <w:rPr>
          <w:color w:val="7F7F7F" w:themeColor="text1" w:themeTint="80"/>
          <w:highlight w:val="yellow"/>
          <w:lang w:val="en-US"/>
        </w:rPr>
        <w:t xml:space="preserve"> Specify if relevant the education level concerned e.g. primary, vocational, higher education, special needs, others, …</w:t>
      </w:r>
    </w:p>
    <w:p w14:paraId="51948047" w14:textId="77777777" w:rsidR="00B00C3E" w:rsidRPr="009F3831" w:rsidRDefault="00B00C3E" w:rsidP="00B00C3E">
      <w:pPr>
        <w:pStyle w:val="Lijstalinea"/>
        <w:ind w:left="1428"/>
        <w:rPr>
          <w:color w:val="7F7F7F" w:themeColor="text1" w:themeTint="80"/>
          <w:lang w:val="en-US"/>
        </w:rPr>
      </w:pPr>
    </w:p>
    <w:p w14:paraId="08397BA0" w14:textId="60BA1C65" w:rsidR="00113ED0" w:rsidRPr="009F3831" w:rsidRDefault="00A70C3B" w:rsidP="00555D70">
      <w:pPr>
        <w:pStyle w:val="Lijstalinea"/>
        <w:numPr>
          <w:ilvl w:val="1"/>
          <w:numId w:val="7"/>
        </w:numPr>
        <w:ind w:left="567"/>
        <w:jc w:val="both"/>
        <w:rPr>
          <w:rFonts w:eastAsia="Times New Roman" w:cs="Times New Roman"/>
          <w:color w:val="000000"/>
          <w:lang w:eastAsia="fr-CA"/>
        </w:rPr>
      </w:pPr>
      <w:r w:rsidRPr="009F3831">
        <w:rPr>
          <w:lang w:val="fr-CA"/>
        </w:rPr>
        <w:t xml:space="preserve">Le 13 mars 2020, le </w:t>
      </w:r>
      <w:r w:rsidR="00BE7985" w:rsidRPr="009F3831">
        <w:rPr>
          <w:lang w:val="fr-CA"/>
        </w:rPr>
        <w:t>gouvernement</w:t>
      </w:r>
      <w:r w:rsidRPr="009F3831">
        <w:rPr>
          <w:lang w:val="fr-CA"/>
        </w:rPr>
        <w:t xml:space="preserve"> déclarait un état d’urgence sanitaire </w:t>
      </w:r>
      <w:r w:rsidR="00BE7985" w:rsidRPr="009F3831">
        <w:rPr>
          <w:lang w:val="fr-CA"/>
        </w:rPr>
        <w:t xml:space="preserve">et ordonnait </w:t>
      </w:r>
      <w:r w:rsidR="00C228A7" w:rsidRPr="009F3831">
        <w:rPr>
          <w:lang w:val="fr-CA"/>
        </w:rPr>
        <w:t xml:space="preserve">la </w:t>
      </w:r>
      <w:r w:rsidR="00BE7985" w:rsidRPr="009F3831">
        <w:rPr>
          <w:rFonts w:eastAsia="Times New Roman" w:cs="Times New Roman"/>
          <w:bCs/>
          <w:color w:val="000000"/>
          <w:lang w:eastAsia="fr-CA"/>
        </w:rPr>
        <w:t xml:space="preserve">fermeture de tous </w:t>
      </w:r>
      <w:r w:rsidR="003D0ADE" w:rsidRPr="009F3831">
        <w:rPr>
          <w:rFonts w:eastAsia="Times New Roman" w:cs="Times New Roman"/>
          <w:bCs/>
          <w:color w:val="000000"/>
          <w:lang w:eastAsia="fr-CA"/>
        </w:rPr>
        <w:t xml:space="preserve">les </w:t>
      </w:r>
      <w:r w:rsidR="00BE7985" w:rsidRPr="009F3831">
        <w:rPr>
          <w:rFonts w:eastAsia="Times New Roman" w:cs="Times New Roman"/>
          <w:bCs/>
          <w:color w:val="000000"/>
          <w:lang w:eastAsia="fr-CA"/>
        </w:rPr>
        <w:t xml:space="preserve">établissements d’enseignement </w:t>
      </w:r>
      <w:r w:rsidR="00BE7985" w:rsidRPr="009F3831">
        <w:rPr>
          <w:rFonts w:eastAsia="Times New Roman" w:cs="Times New Roman"/>
          <w:color w:val="000000"/>
          <w:lang w:eastAsia="fr-CA"/>
        </w:rPr>
        <w:t>des différents ordres d'enseignement au Québec du 16 mars au 27 mars.</w:t>
      </w:r>
      <w:r w:rsidR="00CD1441" w:rsidRPr="009F3831">
        <w:rPr>
          <w:rFonts w:eastAsia="Times New Roman" w:cs="Times New Roman"/>
          <w:color w:val="000000"/>
          <w:lang w:eastAsia="fr-CA"/>
        </w:rPr>
        <w:t xml:space="preserve"> </w:t>
      </w:r>
      <w:r w:rsidR="00113ED0" w:rsidRPr="009F3831">
        <w:rPr>
          <w:rFonts w:eastAsia="Times New Roman" w:cs="Times New Roman"/>
          <w:color w:val="000000"/>
          <w:lang w:eastAsia="fr-CA"/>
        </w:rPr>
        <w:t xml:space="preserve">Aucun service éducatif </w:t>
      </w:r>
      <w:r w:rsidR="00C228A7" w:rsidRPr="009F3831">
        <w:rPr>
          <w:rFonts w:eastAsia="Times New Roman" w:cs="Times New Roman"/>
          <w:color w:val="000000"/>
          <w:lang w:eastAsia="fr-CA"/>
        </w:rPr>
        <w:t>n’a été</w:t>
      </w:r>
      <w:r w:rsidR="00113ED0" w:rsidRPr="009F3831">
        <w:rPr>
          <w:rFonts w:eastAsia="Times New Roman" w:cs="Times New Roman"/>
          <w:color w:val="000000"/>
          <w:lang w:eastAsia="fr-CA"/>
        </w:rPr>
        <w:t xml:space="preserve"> offert pendant cette période dan</w:t>
      </w:r>
      <w:r w:rsidR="00A160DA" w:rsidRPr="009F3831">
        <w:rPr>
          <w:rFonts w:eastAsia="Times New Roman" w:cs="Times New Roman"/>
          <w:color w:val="000000"/>
          <w:lang w:eastAsia="fr-CA"/>
        </w:rPr>
        <w:t>s</w:t>
      </w:r>
      <w:r w:rsidR="00113ED0" w:rsidRPr="009F3831">
        <w:rPr>
          <w:rFonts w:eastAsia="Times New Roman" w:cs="Times New Roman"/>
          <w:color w:val="000000"/>
          <w:lang w:eastAsia="fr-CA"/>
        </w:rPr>
        <w:t xml:space="preserve"> le réseau public. Certains établissements privés </w:t>
      </w:r>
      <w:r w:rsidR="00C81354" w:rsidRPr="009F3831">
        <w:rPr>
          <w:rFonts w:eastAsia="Times New Roman" w:cs="Times New Roman"/>
          <w:color w:val="000000"/>
          <w:lang w:eastAsia="fr-CA"/>
        </w:rPr>
        <w:t xml:space="preserve">des niveaux primaire et secondaire </w:t>
      </w:r>
      <w:r w:rsidR="007B47CF" w:rsidRPr="009F3831">
        <w:rPr>
          <w:rFonts w:eastAsia="Times New Roman" w:cs="Times New Roman"/>
          <w:color w:val="000000"/>
          <w:lang w:eastAsia="fr-CA"/>
        </w:rPr>
        <w:t>ont poursuivi</w:t>
      </w:r>
      <w:r w:rsidR="00113ED0" w:rsidRPr="009F3831">
        <w:rPr>
          <w:rFonts w:eastAsia="Times New Roman" w:cs="Times New Roman"/>
          <w:color w:val="000000"/>
          <w:lang w:eastAsia="fr-CA"/>
        </w:rPr>
        <w:t xml:space="preserve">les apprentissages en enseignement à distance. Les établissements d'enseignement supérieur </w:t>
      </w:r>
      <w:r w:rsidR="007B47CF" w:rsidRPr="009F3831">
        <w:rPr>
          <w:rFonts w:eastAsia="Times New Roman" w:cs="Times New Roman"/>
          <w:color w:val="000000"/>
          <w:lang w:eastAsia="fr-CA"/>
        </w:rPr>
        <w:t xml:space="preserve">ont été </w:t>
      </w:r>
      <w:r w:rsidR="00113ED0" w:rsidRPr="009F3831">
        <w:rPr>
          <w:rFonts w:eastAsia="Times New Roman" w:cs="Times New Roman"/>
          <w:color w:val="000000"/>
          <w:lang w:eastAsia="fr-CA"/>
        </w:rPr>
        <w:t xml:space="preserve"> invités à concevoir des façons de poursuivre des activités en formation à distance (FAD).  </w:t>
      </w:r>
    </w:p>
    <w:p w14:paraId="65CCA2CA" w14:textId="244A15F8" w:rsidR="00CD1441" w:rsidRPr="009F3831" w:rsidRDefault="00CD1441" w:rsidP="00555D70">
      <w:pPr>
        <w:pStyle w:val="Lijstalinea"/>
        <w:numPr>
          <w:ilvl w:val="1"/>
          <w:numId w:val="7"/>
        </w:numPr>
        <w:ind w:left="567"/>
        <w:jc w:val="both"/>
        <w:rPr>
          <w:lang w:val="fr-CA"/>
        </w:rPr>
      </w:pPr>
      <w:r w:rsidRPr="009F3831">
        <w:rPr>
          <w:lang w:val="fr-CA"/>
        </w:rPr>
        <w:t xml:space="preserve">Des services de garde </w:t>
      </w:r>
      <w:r w:rsidR="00C228A7" w:rsidRPr="009F3831">
        <w:rPr>
          <w:lang w:val="fr-CA"/>
        </w:rPr>
        <w:t xml:space="preserve">ont été </w:t>
      </w:r>
      <w:r w:rsidRPr="009F3831">
        <w:rPr>
          <w:lang w:val="fr-CA"/>
        </w:rPr>
        <w:t xml:space="preserve">maintenus pour les enfants dont l’un des parents </w:t>
      </w:r>
      <w:r w:rsidR="003D0ADE" w:rsidRPr="009F3831">
        <w:rPr>
          <w:lang w:val="fr-CA"/>
        </w:rPr>
        <w:t>était</w:t>
      </w:r>
      <w:r w:rsidRPr="009F3831">
        <w:rPr>
          <w:lang w:val="fr-CA"/>
        </w:rPr>
        <w:t xml:space="preserve"> considéré travailleur dans les services essentiels.</w:t>
      </w:r>
    </w:p>
    <w:p w14:paraId="59F2FC3E" w14:textId="4939908D" w:rsidR="007E3A0D" w:rsidRPr="009F3831" w:rsidRDefault="007E3A0D" w:rsidP="00555D70">
      <w:pPr>
        <w:pStyle w:val="Lijstalinea"/>
        <w:numPr>
          <w:ilvl w:val="1"/>
          <w:numId w:val="7"/>
        </w:numPr>
        <w:ind w:left="567"/>
        <w:jc w:val="both"/>
        <w:rPr>
          <w:lang w:val="fr-CA"/>
        </w:rPr>
      </w:pPr>
      <w:r w:rsidRPr="009F3831">
        <w:rPr>
          <w:lang w:val="fr-CA"/>
        </w:rPr>
        <w:t>L</w:t>
      </w:r>
      <w:r w:rsidR="00C228A7" w:rsidRPr="009F3831">
        <w:rPr>
          <w:lang w:val="fr-CA"/>
        </w:rPr>
        <w:t>e 27mars, l</w:t>
      </w:r>
      <w:r w:rsidRPr="009F3831">
        <w:rPr>
          <w:lang w:val="fr-CA"/>
        </w:rPr>
        <w:t xml:space="preserve">a fermeture des écoles </w:t>
      </w:r>
      <w:r w:rsidR="00C228A7" w:rsidRPr="009F3831">
        <w:rPr>
          <w:lang w:val="fr-CA"/>
        </w:rPr>
        <w:t xml:space="preserve">a été </w:t>
      </w:r>
      <w:r w:rsidRPr="009F3831">
        <w:rPr>
          <w:lang w:val="fr-CA"/>
        </w:rPr>
        <w:t>prolongée jusqu’au 1er mai.</w:t>
      </w:r>
      <w:r w:rsidR="005C7AE8" w:rsidRPr="009F3831">
        <w:rPr>
          <w:lang w:val="fr-CA"/>
        </w:rPr>
        <w:t xml:space="preserve"> À la fin mars et tout au long des semaines qui suivront, le système éducatif québécois entre dans une phase de reconstruction et de normalisation qui donnera lieu à des ajustements législatifs, des directives, des activités et des initiatives diverses visant à remédier à moyen et à long terme aux composantes et aux structures qui ont été affectées au début de la crise. </w:t>
      </w:r>
    </w:p>
    <w:p w14:paraId="4FEF08D1" w14:textId="2C82EC2E" w:rsidR="00CD1441" w:rsidRPr="009F3831" w:rsidRDefault="002C06C9" w:rsidP="002C06C9">
      <w:pPr>
        <w:rPr>
          <w:b/>
          <w:lang w:val="fr-CA"/>
        </w:rPr>
      </w:pPr>
      <w:r w:rsidRPr="009F3831">
        <w:rPr>
          <w:b/>
          <w:lang w:val="fr-CA"/>
        </w:rPr>
        <w:t>Directives pour les écoles primaires et secondaires</w:t>
      </w:r>
      <w:r w:rsidR="00F53C99" w:rsidRPr="009F3831">
        <w:rPr>
          <w:b/>
          <w:lang w:val="fr-CA"/>
        </w:rPr>
        <w:t>,</w:t>
      </w:r>
      <w:r w:rsidRPr="009F3831">
        <w:rPr>
          <w:b/>
          <w:lang w:val="fr-CA"/>
        </w:rPr>
        <w:t xml:space="preserve"> ainsi que les centres de formation</w:t>
      </w:r>
      <w:r w:rsidR="00FA448D" w:rsidRPr="009F3831">
        <w:rPr>
          <w:b/>
          <w:lang w:val="fr-CA"/>
        </w:rPr>
        <w:t xml:space="preserve"> pendant le confinement (13 mars à mai 2020)</w:t>
      </w:r>
    </w:p>
    <w:p w14:paraId="2937C74E" w14:textId="23CCBC1C" w:rsidR="002C06C9" w:rsidRPr="009F3831" w:rsidRDefault="002C06C9" w:rsidP="002C06C9">
      <w:pPr>
        <w:pStyle w:val="Lijstalinea"/>
        <w:numPr>
          <w:ilvl w:val="0"/>
          <w:numId w:val="8"/>
        </w:numPr>
        <w:rPr>
          <w:lang w:val="fr-CA"/>
        </w:rPr>
      </w:pPr>
      <w:r w:rsidRPr="009F3831">
        <w:rPr>
          <w:lang w:val="fr-CA"/>
        </w:rPr>
        <w:t xml:space="preserve">L’accès aux écoles et aux centres de formation est interdit au personnel enseignant en attendant le développement de mesures alternatives pédagogiques non obligatoires. </w:t>
      </w:r>
    </w:p>
    <w:p w14:paraId="4B3A55EF" w14:textId="058C6E64" w:rsidR="002C06C9" w:rsidRPr="009F3831" w:rsidRDefault="002C06C9" w:rsidP="002C06C9">
      <w:pPr>
        <w:pStyle w:val="Lijstalinea"/>
        <w:numPr>
          <w:ilvl w:val="0"/>
          <w:numId w:val="8"/>
        </w:numPr>
        <w:rPr>
          <w:lang w:val="fr-CA"/>
        </w:rPr>
      </w:pPr>
      <w:r w:rsidRPr="009F3831">
        <w:rPr>
          <w:lang w:val="fr-CA"/>
        </w:rPr>
        <w:t>Les élèves en formation professionnelle et en formation générale des adultes doivent faire appel à des ressources existantes en formation à distance, en ligne ou par téléphone pour poursuivre leurs apprentissages.</w:t>
      </w:r>
    </w:p>
    <w:p w14:paraId="718A4398" w14:textId="710A6E0B" w:rsidR="002C06C9" w:rsidRPr="009F3831" w:rsidRDefault="00B15EDB" w:rsidP="002C06C9">
      <w:pPr>
        <w:pStyle w:val="Lijstalinea"/>
        <w:numPr>
          <w:ilvl w:val="0"/>
          <w:numId w:val="8"/>
        </w:numPr>
        <w:rPr>
          <w:lang w:val="fr-CA"/>
        </w:rPr>
      </w:pPr>
      <w:r w:rsidRPr="009F3831">
        <w:rPr>
          <w:lang w:val="fr-CA"/>
        </w:rPr>
        <w:lastRenderedPageBreak/>
        <w:t xml:space="preserve">L’année scolaire reste valide pour les élèves du préscolaire, du primaire et du secondaire et le passage au niveau suivant est laissé au jugement professionnel de l’enseignant de l’élève en fonction des évaluations précédentes. Les épreuves ministérielles sont annulées. </w:t>
      </w:r>
    </w:p>
    <w:p w14:paraId="382C9AC7" w14:textId="7A2DC4FB" w:rsidR="00661647" w:rsidRPr="009F3831" w:rsidRDefault="00661647" w:rsidP="00B91ECB">
      <w:pPr>
        <w:pStyle w:val="Lijstalinea"/>
        <w:numPr>
          <w:ilvl w:val="0"/>
          <w:numId w:val="8"/>
        </w:numPr>
        <w:jc w:val="both"/>
        <w:rPr>
          <w:lang w:val="fr-CA"/>
        </w:rPr>
      </w:pPr>
      <w:r w:rsidRPr="009F3831">
        <w:rPr>
          <w:lang w:val="fr-CA"/>
        </w:rPr>
        <w:t xml:space="preserve">Un suivi hebdomadaire personnalisé auprès des élèves vulnérables par téléphone ou autres moyens technologiques est </w:t>
      </w:r>
      <w:r w:rsidR="00A160DA" w:rsidRPr="009F3831">
        <w:rPr>
          <w:lang w:val="fr-CA"/>
        </w:rPr>
        <w:t>exigé aux équipes-écoles, aux directions d’établissements et aux professionnels et employés de soutien technique qui accompagnaient ces élèves avant la fermeture des écoles.</w:t>
      </w:r>
    </w:p>
    <w:p w14:paraId="1D0077CA" w14:textId="467A726B" w:rsidR="00A160DA" w:rsidRPr="009F3831" w:rsidRDefault="00A160DA" w:rsidP="00B91ECB">
      <w:pPr>
        <w:pStyle w:val="Lijstalinea"/>
        <w:numPr>
          <w:ilvl w:val="0"/>
          <w:numId w:val="8"/>
        </w:numPr>
        <w:jc w:val="both"/>
        <w:rPr>
          <w:lang w:val="fr-CA"/>
        </w:rPr>
      </w:pPr>
      <w:r w:rsidRPr="009F3831">
        <w:rPr>
          <w:lang w:val="fr-CA"/>
        </w:rPr>
        <w:t xml:space="preserve">Il est demandé de favoriser la reconnaissance des acquis pour décerner les diplômes, attestations et certifications et de mettre à profit des initiatives de formation à distance </w:t>
      </w:r>
      <w:r w:rsidRPr="009F3831">
        <w:rPr>
          <w:u w:val="single"/>
          <w:lang w:val="fr-CA"/>
        </w:rPr>
        <w:t>en formation professionnelle et en formations des adultes</w:t>
      </w:r>
      <w:r w:rsidRPr="009F3831">
        <w:rPr>
          <w:lang w:val="fr-CA"/>
        </w:rPr>
        <w:t xml:space="preserve">. </w:t>
      </w:r>
      <w:r w:rsidR="0010189B" w:rsidRPr="009F3831">
        <w:rPr>
          <w:lang w:val="fr-CA"/>
        </w:rPr>
        <w:t xml:space="preserve">L’évaluation formative à distance des adultes en formation générale est permise exceptionnellement en fonction du jugement professionnel du personnel enseignant afin de favoriser la poursuite du cheminement scolaire. Les épreuves ministérielles sont reportées. Un suivi pédagogique doit être assuré afin de consolider les acquis des élèves en formation professionnelle. </w:t>
      </w:r>
      <w:r w:rsidR="00807B98" w:rsidRPr="009F3831">
        <w:rPr>
          <w:lang w:val="fr-CA"/>
        </w:rPr>
        <w:t>Une attention particulière (soutien téléphonique ou par vidéomessagerie) doit être portée aux élèves en difficultés ou présentant des particularités, dont les personnes immigrantes.</w:t>
      </w:r>
    </w:p>
    <w:p w14:paraId="69229012" w14:textId="2D659A9B" w:rsidR="001966FC" w:rsidRPr="009F3831" w:rsidRDefault="00B76B30" w:rsidP="00B91ECB">
      <w:pPr>
        <w:pStyle w:val="Lijstalinea"/>
        <w:numPr>
          <w:ilvl w:val="0"/>
          <w:numId w:val="8"/>
        </w:numPr>
        <w:jc w:val="both"/>
        <w:rPr>
          <w:lang w:val="fr-CA"/>
        </w:rPr>
      </w:pPr>
      <w:r w:rsidRPr="009F3831">
        <w:rPr>
          <w:lang w:val="fr-CA"/>
        </w:rPr>
        <w:t>À la fin mars, l</w:t>
      </w:r>
      <w:r w:rsidR="001966FC" w:rsidRPr="009F3831">
        <w:rPr>
          <w:lang w:val="fr-CA"/>
        </w:rPr>
        <w:t xml:space="preserve">e ministère annonce que des activités pédagogiques optionnelles seront </w:t>
      </w:r>
      <w:r w:rsidR="006F4497" w:rsidRPr="009F3831">
        <w:rPr>
          <w:lang w:val="fr-CA"/>
        </w:rPr>
        <w:t>proposées.</w:t>
      </w:r>
    </w:p>
    <w:p w14:paraId="45D714EA" w14:textId="293BBCF6" w:rsidR="009473B8" w:rsidRPr="009F3831" w:rsidRDefault="009473B8" w:rsidP="006F4497">
      <w:pPr>
        <w:rPr>
          <w:b/>
          <w:lang w:val="fr-CA"/>
        </w:rPr>
      </w:pPr>
      <w:r w:rsidRPr="009F3831">
        <w:rPr>
          <w:rFonts w:eastAsia="Times New Roman" w:cs="Times New Roman"/>
          <w:b/>
          <w:color w:val="000000"/>
          <w:lang w:eastAsia="fr-CA"/>
        </w:rPr>
        <w:t>Initiatives mises en place pour favoriser la continuité scolaire</w:t>
      </w:r>
      <w:r w:rsidR="00A6132A" w:rsidRPr="009F3831">
        <w:rPr>
          <w:rFonts w:eastAsia="Times New Roman" w:cs="Times New Roman"/>
          <w:b/>
          <w:color w:val="000000"/>
          <w:lang w:eastAsia="fr-CA"/>
        </w:rPr>
        <w:t xml:space="preserve"> et autres services</w:t>
      </w:r>
      <w:r w:rsidR="00FA448D" w:rsidRPr="009F3831">
        <w:rPr>
          <w:rFonts w:eastAsia="Times New Roman" w:cs="Times New Roman"/>
          <w:b/>
          <w:color w:val="000000"/>
          <w:lang w:eastAsia="fr-CA"/>
        </w:rPr>
        <w:t xml:space="preserve"> éducatifs</w:t>
      </w:r>
    </w:p>
    <w:p w14:paraId="48420368" w14:textId="25EC61FE" w:rsidR="009473B8" w:rsidRPr="009F3831" w:rsidRDefault="008C4B8F" w:rsidP="006F4497">
      <w:pPr>
        <w:pStyle w:val="Lijstalinea"/>
        <w:numPr>
          <w:ilvl w:val="2"/>
          <w:numId w:val="8"/>
        </w:numPr>
        <w:ind w:left="567"/>
        <w:jc w:val="both"/>
        <w:rPr>
          <w:b/>
          <w:lang w:val="fr-CA"/>
        </w:rPr>
      </w:pPr>
      <w:r w:rsidRPr="009F3831">
        <w:rPr>
          <w:lang w:val="fr-CA"/>
        </w:rPr>
        <w:t>Trousses pédagogiques hebdomadaires facultatives</w:t>
      </w:r>
      <w:r w:rsidR="008F108A" w:rsidRPr="009F3831">
        <w:rPr>
          <w:lang w:val="fr-CA"/>
        </w:rPr>
        <w:t xml:space="preserve"> </w:t>
      </w:r>
      <w:r w:rsidR="00005859" w:rsidRPr="009F3831">
        <w:rPr>
          <w:lang w:val="fr-CA"/>
        </w:rPr>
        <w:t>élaborées</w:t>
      </w:r>
      <w:r w:rsidR="008F108A" w:rsidRPr="009F3831">
        <w:rPr>
          <w:lang w:val="fr-CA"/>
        </w:rPr>
        <w:t xml:space="preserve"> par le ministère de l’Éducation et personnalisée</w:t>
      </w:r>
      <w:r w:rsidR="00E934E0" w:rsidRPr="009F3831">
        <w:rPr>
          <w:lang w:val="fr-CA"/>
        </w:rPr>
        <w:t>s</w:t>
      </w:r>
      <w:r w:rsidR="008F108A" w:rsidRPr="009F3831">
        <w:rPr>
          <w:lang w:val="fr-CA"/>
        </w:rPr>
        <w:t xml:space="preserve"> par les enseignants ou par un membre de l’équip</w:t>
      </w:r>
      <w:r w:rsidR="001F1277" w:rsidRPr="009F3831">
        <w:rPr>
          <w:lang w:val="fr-CA"/>
        </w:rPr>
        <w:t>e-école en fonction des besoins;</w:t>
      </w:r>
    </w:p>
    <w:p w14:paraId="6883692A" w14:textId="7AE2AF3C" w:rsidR="008F108A" w:rsidRPr="009F3831" w:rsidRDefault="008F108A" w:rsidP="006F4497">
      <w:pPr>
        <w:pStyle w:val="Lijstalinea"/>
        <w:numPr>
          <w:ilvl w:val="2"/>
          <w:numId w:val="8"/>
        </w:numPr>
        <w:ind w:left="567"/>
        <w:jc w:val="both"/>
        <w:rPr>
          <w:b/>
          <w:lang w:val="fr-CA"/>
        </w:rPr>
      </w:pPr>
      <w:r w:rsidRPr="009F3831">
        <w:rPr>
          <w:lang w:val="fr-CA"/>
        </w:rPr>
        <w:t>Suivi hebdom</w:t>
      </w:r>
      <w:r w:rsidR="006970BB" w:rsidRPr="009F3831">
        <w:rPr>
          <w:lang w:val="fr-CA"/>
        </w:rPr>
        <w:t>adai</w:t>
      </w:r>
      <w:r w:rsidRPr="009F3831">
        <w:rPr>
          <w:lang w:val="fr-CA"/>
        </w:rPr>
        <w:t>re par les enseignants ou un membre de l’équipe-école</w:t>
      </w:r>
      <w:r w:rsidR="001F1277" w:rsidRPr="009F3831">
        <w:rPr>
          <w:lang w:val="fr-CA"/>
        </w:rPr>
        <w:t>;</w:t>
      </w:r>
    </w:p>
    <w:p w14:paraId="65698FB9" w14:textId="379D2B4C" w:rsidR="001F1277" w:rsidRPr="009F3831" w:rsidRDefault="001F1277" w:rsidP="006F4497">
      <w:pPr>
        <w:pStyle w:val="Lijstalinea"/>
        <w:numPr>
          <w:ilvl w:val="2"/>
          <w:numId w:val="8"/>
        </w:numPr>
        <w:ind w:left="567"/>
        <w:jc w:val="both"/>
        <w:rPr>
          <w:lang w:val="fr-CA"/>
        </w:rPr>
      </w:pPr>
      <w:r w:rsidRPr="009F3831">
        <w:rPr>
          <w:lang w:val="fr-CA"/>
        </w:rPr>
        <w:t xml:space="preserve">Mise en ligne d’une plateforme Web </w:t>
      </w:r>
      <w:hyperlink r:id="rId13" w:history="1">
        <w:r w:rsidRPr="009F3831">
          <w:rPr>
            <w:rStyle w:val="Hyperlink"/>
            <w:lang w:val="fr-CA"/>
          </w:rPr>
          <w:t>l’École ouverte</w:t>
        </w:r>
      </w:hyperlink>
      <w:r w:rsidRPr="009F3831">
        <w:rPr>
          <w:lang w:val="fr-CA"/>
        </w:rPr>
        <w:t xml:space="preserve"> pour parfaire les connaissances des élèves avec contenu spécifique destiné aux élèves handicapés ou ayant des difficultés d’adaptation ou d’apprentissage;</w:t>
      </w:r>
    </w:p>
    <w:p w14:paraId="2392C346" w14:textId="6E1A3B07" w:rsidR="001F1277" w:rsidRPr="009F3831" w:rsidRDefault="001F1277" w:rsidP="006F4497">
      <w:pPr>
        <w:pStyle w:val="Lijstalinea"/>
        <w:numPr>
          <w:ilvl w:val="2"/>
          <w:numId w:val="8"/>
        </w:numPr>
        <w:ind w:left="567"/>
        <w:jc w:val="both"/>
        <w:rPr>
          <w:lang w:val="fr-CA"/>
        </w:rPr>
      </w:pPr>
      <w:r w:rsidRPr="009F3831">
        <w:rPr>
          <w:lang w:val="fr-CA"/>
        </w:rPr>
        <w:t>Diffusion d’émissions éducatives destinées aux élèves de tous les niveaux à la télévision par la société de télédiffusion publique du Québec (</w:t>
      </w:r>
      <w:hyperlink r:id="rId14" w:history="1">
        <w:r w:rsidRPr="009F3831">
          <w:rPr>
            <w:rStyle w:val="Hyperlink"/>
            <w:lang w:val="fr-CA"/>
          </w:rPr>
          <w:t>Télé-Québec</w:t>
        </w:r>
      </w:hyperlink>
      <w:r w:rsidRPr="009F3831">
        <w:rPr>
          <w:lang w:val="fr-CA"/>
        </w:rPr>
        <w:t>).</w:t>
      </w:r>
    </w:p>
    <w:p w14:paraId="7F57688F" w14:textId="1D0362AE" w:rsidR="00A6132A" w:rsidRPr="009F3831" w:rsidRDefault="00A6132A" w:rsidP="006F4497">
      <w:pPr>
        <w:pStyle w:val="Lijstalinea"/>
        <w:numPr>
          <w:ilvl w:val="2"/>
          <w:numId w:val="8"/>
        </w:numPr>
        <w:ind w:left="567"/>
        <w:jc w:val="both"/>
        <w:rPr>
          <w:lang w:val="fr-CA"/>
        </w:rPr>
      </w:pPr>
      <w:r w:rsidRPr="009F3831">
        <w:rPr>
          <w:lang w:val="fr-CA"/>
        </w:rPr>
        <w:t>Service d’aide alimentaire habituellement offert en milieu scolaire redistribué via des organismes à travers la province.</w:t>
      </w:r>
    </w:p>
    <w:p w14:paraId="25ED81BB" w14:textId="575555E8" w:rsidR="006C5F81" w:rsidRPr="009F3831" w:rsidRDefault="006C5F81" w:rsidP="006F4497">
      <w:pPr>
        <w:pStyle w:val="Lijstalinea"/>
        <w:numPr>
          <w:ilvl w:val="2"/>
          <w:numId w:val="8"/>
        </w:numPr>
        <w:ind w:left="567"/>
        <w:jc w:val="both"/>
        <w:rPr>
          <w:lang w:val="fr-CA"/>
        </w:rPr>
      </w:pPr>
      <w:r w:rsidRPr="009F3831">
        <w:rPr>
          <w:lang w:val="fr-CA"/>
        </w:rPr>
        <w:t xml:space="preserve">Un </w:t>
      </w:r>
      <w:hyperlink r:id="rId15" w:history="1">
        <w:r w:rsidRPr="009F3831">
          <w:rPr>
            <w:rStyle w:val="Hyperlink"/>
            <w:lang w:val="fr-CA"/>
          </w:rPr>
          <w:t>microprogramme</w:t>
        </w:r>
      </w:hyperlink>
      <w:r w:rsidRPr="009F3831">
        <w:rPr>
          <w:lang w:val="fr-CA"/>
        </w:rPr>
        <w:t xml:space="preserve"> gratuit (en</w:t>
      </w:r>
      <w:r w:rsidR="00E934E0" w:rsidRPr="009F3831">
        <w:rPr>
          <w:lang w:val="fr-CA"/>
        </w:rPr>
        <w:t xml:space="preserve"> </w:t>
      </w:r>
      <w:r w:rsidRPr="009F3831">
        <w:rPr>
          <w:lang w:val="fr-CA"/>
        </w:rPr>
        <w:t xml:space="preserve">ligne) portant sur la formation à distance est offert au personnel enseignant et aux professionnels afin de parfaire leurs compétences relatives à l’utilisation des outils technologiques. </w:t>
      </w:r>
    </w:p>
    <w:p w14:paraId="4C62E194" w14:textId="5A746F3B" w:rsidR="006C5F81" w:rsidRPr="009F3831" w:rsidRDefault="006C5F81" w:rsidP="006F4497">
      <w:pPr>
        <w:pStyle w:val="Lijstalinea"/>
        <w:numPr>
          <w:ilvl w:val="2"/>
          <w:numId w:val="8"/>
        </w:numPr>
        <w:ind w:left="567"/>
        <w:jc w:val="both"/>
        <w:rPr>
          <w:lang w:val="fr-CA"/>
        </w:rPr>
      </w:pPr>
      <w:r w:rsidRPr="009F3831">
        <w:rPr>
          <w:lang w:val="fr-CA"/>
        </w:rPr>
        <w:t>Prêt de matériel informatique aux élèves et investissements dans l’achat d’outils technologiques.</w:t>
      </w:r>
    </w:p>
    <w:p w14:paraId="3FDC2325" w14:textId="62104A35" w:rsidR="006C5F81" w:rsidRPr="009F3831" w:rsidRDefault="006C5F81" w:rsidP="006F4497">
      <w:pPr>
        <w:pStyle w:val="Lijstalinea"/>
        <w:numPr>
          <w:ilvl w:val="2"/>
          <w:numId w:val="8"/>
        </w:numPr>
        <w:ind w:left="567"/>
        <w:jc w:val="both"/>
        <w:rPr>
          <w:lang w:val="fr-CA"/>
        </w:rPr>
      </w:pPr>
      <w:r w:rsidRPr="009F3831">
        <w:rPr>
          <w:lang w:val="fr-CA"/>
        </w:rPr>
        <w:t xml:space="preserve">Publication d’un </w:t>
      </w:r>
      <w:hyperlink r:id="rId16" w:history="1">
        <w:r w:rsidRPr="009F3831">
          <w:rPr>
            <w:rStyle w:val="Hyperlink"/>
            <w:lang w:val="fr-CA"/>
          </w:rPr>
          <w:t>guide</w:t>
        </w:r>
      </w:hyperlink>
      <w:r w:rsidRPr="009F3831">
        <w:rPr>
          <w:lang w:val="fr-CA"/>
        </w:rPr>
        <w:t xml:space="preserve"> </w:t>
      </w:r>
      <w:r w:rsidR="00E353D5" w:rsidRPr="009F3831">
        <w:rPr>
          <w:lang w:val="fr-CA"/>
        </w:rPr>
        <w:t>à l’intention du réseau scolaire pour assurer la sécurité du personnel et des élèves et pour réduire la contamination par la COVID-19.</w:t>
      </w:r>
    </w:p>
    <w:p w14:paraId="3DF77AC4" w14:textId="6D62EDC4" w:rsidR="005751CD" w:rsidRPr="009F3831" w:rsidRDefault="00FC3FC4" w:rsidP="006F4497">
      <w:pPr>
        <w:pStyle w:val="Lijstalinea"/>
        <w:numPr>
          <w:ilvl w:val="2"/>
          <w:numId w:val="8"/>
        </w:numPr>
        <w:ind w:left="567"/>
        <w:jc w:val="both"/>
        <w:rPr>
          <w:lang w:val="fr-CA"/>
        </w:rPr>
      </w:pPr>
      <w:r w:rsidRPr="009F3831">
        <w:rPr>
          <w:lang w:val="fr-CA"/>
        </w:rPr>
        <w:t>Modifications du r</w:t>
      </w:r>
      <w:r w:rsidRPr="009F3831">
        <w:rPr>
          <w:rFonts w:eastAsia="Times New Roman" w:cs="Times New Roman"/>
          <w:color w:val="000000"/>
          <w:lang w:eastAsia="fr-CA"/>
        </w:rPr>
        <w:t xml:space="preserve">égime pédagogique modifié de l’éducation préscolaire, de l’enseignement primaire et de l’enseignement secondaire (trois régimes établis en vertu de la </w:t>
      </w:r>
      <w:r w:rsidRPr="009F3831">
        <w:rPr>
          <w:rFonts w:eastAsia="Times New Roman" w:cs="Times New Roman"/>
          <w:i/>
          <w:color w:val="000000"/>
          <w:lang w:eastAsia="fr-CA"/>
        </w:rPr>
        <w:t>Loi sur l’instruction publique</w:t>
      </w:r>
      <w:r w:rsidRPr="009F3831">
        <w:rPr>
          <w:rFonts w:eastAsia="Times New Roman" w:cs="Times New Roman"/>
          <w:color w:val="000000"/>
          <w:lang w:eastAsia="fr-CA"/>
        </w:rPr>
        <w:t>) afin de rendre valide l’année scolaire en cours</w:t>
      </w:r>
      <w:r w:rsidR="00296ACB" w:rsidRPr="009F3831">
        <w:rPr>
          <w:rFonts w:eastAsia="Times New Roman" w:cs="Times New Roman"/>
          <w:color w:val="000000"/>
          <w:lang w:eastAsia="fr-CA"/>
        </w:rPr>
        <w:t xml:space="preserve"> (modifications au calendrier, au dernier bulletin et à la sanction des études)</w:t>
      </w:r>
      <w:r w:rsidRPr="009F3831">
        <w:rPr>
          <w:rFonts w:eastAsia="Times New Roman" w:cs="Times New Roman"/>
          <w:color w:val="000000"/>
          <w:lang w:eastAsia="fr-CA"/>
        </w:rPr>
        <w:t xml:space="preserve">. </w:t>
      </w:r>
      <w:r w:rsidR="00296ACB" w:rsidRPr="009F3831">
        <w:rPr>
          <w:rFonts w:eastAsia="Times New Roman" w:cs="Times New Roman"/>
          <w:color w:val="000000"/>
          <w:lang w:eastAsia="fr-CA"/>
        </w:rPr>
        <w:t>Concernant les évaluations, les enseignants doivent exprim</w:t>
      </w:r>
      <w:r w:rsidR="00E934E0" w:rsidRPr="009F3831">
        <w:rPr>
          <w:rFonts w:eastAsia="Times New Roman" w:cs="Times New Roman"/>
          <w:color w:val="000000"/>
          <w:lang w:eastAsia="fr-CA"/>
        </w:rPr>
        <w:t>er</w:t>
      </w:r>
      <w:r w:rsidR="00296ACB" w:rsidRPr="009F3831">
        <w:rPr>
          <w:rFonts w:eastAsia="Times New Roman" w:cs="Times New Roman"/>
          <w:color w:val="000000"/>
          <w:lang w:eastAsia="fr-CA"/>
        </w:rPr>
        <w:t xml:space="preserve"> les résultats par des mentions qualitatives (ou non) plutôt que par des notes chiffrées. Pour la diplomation au secondaire, les résultats sont exprimés en pourcentage suivant les évaluations  précédents la fermeture des écoles. </w:t>
      </w:r>
      <w:r w:rsidR="00286EAD" w:rsidRPr="009F3831">
        <w:rPr>
          <w:rFonts w:eastAsia="Times New Roman" w:cs="Times New Roman"/>
          <w:color w:val="000000"/>
          <w:lang w:eastAsia="fr-CA"/>
        </w:rPr>
        <w:t xml:space="preserve">Les conditions permettant à l’élève de </w:t>
      </w:r>
      <w:r w:rsidR="00286EAD" w:rsidRPr="009F3831">
        <w:rPr>
          <w:rFonts w:eastAsia="Times New Roman" w:cs="Times New Roman"/>
          <w:color w:val="000000"/>
          <w:lang w:eastAsia="fr-CA"/>
        </w:rPr>
        <w:lastRenderedPageBreak/>
        <w:t>bénéficier de la gratuité des services éducatifs sont revues ainsi que les conditions permettant aux élèves d’obtenir leur diplôme, leur certificat ou une attestation officielle pour poursuivre leur cheminement scolaire ou accéder au marché du travail.</w:t>
      </w:r>
    </w:p>
    <w:p w14:paraId="1C72C60D" w14:textId="77777777" w:rsidR="005751CD" w:rsidRPr="009F3831" w:rsidRDefault="005751CD" w:rsidP="006F4497">
      <w:pPr>
        <w:pStyle w:val="Lijstalinea"/>
        <w:numPr>
          <w:ilvl w:val="2"/>
          <w:numId w:val="8"/>
        </w:numPr>
        <w:ind w:left="567"/>
        <w:jc w:val="both"/>
        <w:rPr>
          <w:lang w:val="fr-CA"/>
        </w:rPr>
      </w:pPr>
      <w:r w:rsidRPr="009F3831">
        <w:rPr>
          <w:rFonts w:eastAsia="Times New Roman" w:cs="Times New Roman"/>
          <w:color w:val="000000"/>
          <w:lang w:eastAsia="fr-CA"/>
        </w:rPr>
        <w:t>Des services d’encadrements pédagogiques sont offerts en présence aux élèves de l’enseignement primaire et secondaire qui présentent des difficultés d’apprentissage</w:t>
      </w:r>
      <w:r w:rsidR="00286EAD" w:rsidRPr="009F3831">
        <w:rPr>
          <w:rFonts w:eastAsia="Times New Roman" w:cs="Times New Roman"/>
          <w:color w:val="000000"/>
          <w:lang w:eastAsia="fr-CA"/>
        </w:rPr>
        <w:t xml:space="preserve"> </w:t>
      </w:r>
      <w:r w:rsidRPr="009F3831">
        <w:rPr>
          <w:rFonts w:eastAsia="Times New Roman" w:cs="Times New Roman"/>
          <w:color w:val="000000"/>
          <w:lang w:eastAsia="fr-CA"/>
        </w:rPr>
        <w:t>(camps pédagogiques volontaires).</w:t>
      </w:r>
    </w:p>
    <w:p w14:paraId="25FBCDD7" w14:textId="6235FDD5" w:rsidR="00FC3FC4" w:rsidRPr="009F3831" w:rsidRDefault="005751CD" w:rsidP="006F4497">
      <w:pPr>
        <w:pStyle w:val="Lijstalinea"/>
        <w:numPr>
          <w:ilvl w:val="2"/>
          <w:numId w:val="8"/>
        </w:numPr>
        <w:ind w:left="567"/>
        <w:jc w:val="both"/>
        <w:rPr>
          <w:lang w:val="fr-CA"/>
        </w:rPr>
      </w:pPr>
      <w:r w:rsidRPr="009F3831">
        <w:rPr>
          <w:rFonts w:eastAsia="Times New Roman" w:cs="Times New Roman"/>
          <w:color w:val="000000"/>
          <w:lang w:eastAsia="fr-CA"/>
        </w:rPr>
        <w:t>Les cours d’été en présence pour les élèves de 4</w:t>
      </w:r>
      <w:r w:rsidRPr="009F3831">
        <w:rPr>
          <w:rFonts w:eastAsia="Times New Roman" w:cs="Times New Roman"/>
          <w:color w:val="000000"/>
          <w:vertAlign w:val="superscript"/>
          <w:lang w:eastAsia="fr-CA"/>
        </w:rPr>
        <w:t>e</w:t>
      </w:r>
      <w:r w:rsidRPr="009F3831">
        <w:rPr>
          <w:rFonts w:eastAsia="Times New Roman" w:cs="Times New Roman"/>
          <w:color w:val="000000"/>
          <w:lang w:eastAsia="fr-CA"/>
        </w:rPr>
        <w:t xml:space="preserve"> et 5</w:t>
      </w:r>
      <w:r w:rsidRPr="009F3831">
        <w:rPr>
          <w:rFonts w:eastAsia="Times New Roman" w:cs="Times New Roman"/>
          <w:color w:val="000000"/>
          <w:vertAlign w:val="superscript"/>
          <w:lang w:eastAsia="fr-CA"/>
        </w:rPr>
        <w:t>e</w:t>
      </w:r>
      <w:r w:rsidRPr="009F3831">
        <w:rPr>
          <w:rFonts w:eastAsia="Times New Roman" w:cs="Times New Roman"/>
          <w:color w:val="000000"/>
          <w:lang w:eastAsia="fr-CA"/>
        </w:rPr>
        <w:t xml:space="preserve"> secondaire qui sont en situation d’échec dans les matières relatives à la sanction des études reprennent. </w:t>
      </w:r>
      <w:r w:rsidR="00296ACB" w:rsidRPr="009F3831">
        <w:rPr>
          <w:rFonts w:eastAsia="Times New Roman" w:cs="Times New Roman"/>
          <w:color w:val="000000"/>
          <w:lang w:eastAsia="fr-CA"/>
        </w:rPr>
        <w:t xml:space="preserve"> </w:t>
      </w:r>
    </w:p>
    <w:p w14:paraId="2CC5875C" w14:textId="2C61C4F5" w:rsidR="00B15EDB" w:rsidRPr="009F3831" w:rsidRDefault="00B15EDB" w:rsidP="00B15EDB">
      <w:pPr>
        <w:rPr>
          <w:b/>
          <w:lang w:val="fr-CA"/>
        </w:rPr>
      </w:pPr>
      <w:r w:rsidRPr="009F3831">
        <w:rPr>
          <w:b/>
          <w:lang w:val="fr-CA"/>
        </w:rPr>
        <w:t>Mesures mises en places au niveau collégial (enseignement supérieur niveau préuniversitaire)</w:t>
      </w:r>
    </w:p>
    <w:p w14:paraId="57418A58" w14:textId="77777777" w:rsidR="00903C4C" w:rsidRPr="009F3831" w:rsidRDefault="00995EF3" w:rsidP="000510A8">
      <w:pPr>
        <w:pStyle w:val="Lijstalinea"/>
        <w:numPr>
          <w:ilvl w:val="2"/>
          <w:numId w:val="8"/>
        </w:numPr>
        <w:ind w:left="567"/>
        <w:jc w:val="both"/>
        <w:rPr>
          <w:rFonts w:eastAsia="Times New Roman" w:cs="Times New Roman"/>
          <w:color w:val="000000"/>
          <w:lang w:eastAsia="fr-CA"/>
        </w:rPr>
      </w:pPr>
      <w:r w:rsidRPr="009F3831">
        <w:rPr>
          <w:rFonts w:eastAsia="Times New Roman" w:cs="Times New Roman"/>
          <w:color w:val="000000"/>
          <w:lang w:eastAsia="fr-CA"/>
        </w:rPr>
        <w:t>La session d’hiver 2020 demeure valide suivant des modifications règlementaires</w:t>
      </w:r>
      <w:r w:rsidR="00306AF8" w:rsidRPr="009F3831">
        <w:rPr>
          <w:rFonts w:eastAsia="Times New Roman" w:cs="Times New Roman"/>
          <w:color w:val="000000"/>
          <w:lang w:eastAsia="fr-CA"/>
        </w:rPr>
        <w:t>.</w:t>
      </w:r>
    </w:p>
    <w:p w14:paraId="00E8FF50" w14:textId="5857C254" w:rsidR="00661647" w:rsidRPr="009F3831" w:rsidRDefault="00661647" w:rsidP="000510A8">
      <w:pPr>
        <w:pStyle w:val="Lijstalinea"/>
        <w:numPr>
          <w:ilvl w:val="2"/>
          <w:numId w:val="8"/>
        </w:numPr>
        <w:ind w:left="567"/>
        <w:jc w:val="both"/>
        <w:rPr>
          <w:rFonts w:eastAsia="Times New Roman" w:cs="Times New Roman"/>
          <w:color w:val="000000"/>
          <w:lang w:eastAsia="fr-CA"/>
        </w:rPr>
      </w:pPr>
      <w:r w:rsidRPr="009F3831">
        <w:rPr>
          <w:rFonts w:eastAsia="Times New Roman" w:cs="Times New Roman"/>
          <w:color w:val="000000"/>
          <w:lang w:eastAsia="fr-CA"/>
        </w:rPr>
        <w:t xml:space="preserve">De nouveaux mécanismes sont mis en place pour permettre la possibilité pour tout étudiant de se voir octroyer une mention « d’équivalence » lorsque les professeurs et les chargés de cours jugent que les apprentissages réalisés par les étudiants sont suffisants. Les étudiants peuvent abandonner leurs cours sans encourir de pénalité ou de mention d’échec. </w:t>
      </w:r>
    </w:p>
    <w:p w14:paraId="6759A3EE" w14:textId="77777777" w:rsidR="00995EF3" w:rsidRPr="009F3831" w:rsidRDefault="00995EF3" w:rsidP="00306AF8">
      <w:pPr>
        <w:rPr>
          <w:b/>
          <w:lang w:val="fr-CA"/>
        </w:rPr>
      </w:pPr>
      <w:r w:rsidRPr="009F3831">
        <w:rPr>
          <w:b/>
          <w:lang w:val="fr-CA"/>
        </w:rPr>
        <w:t>Directives pour les universités</w:t>
      </w:r>
    </w:p>
    <w:p w14:paraId="045000C6" w14:textId="355EEA9C" w:rsidR="00B15EDB" w:rsidRPr="009F3831" w:rsidRDefault="00995EF3" w:rsidP="00555D70">
      <w:pPr>
        <w:pStyle w:val="Lijstalinea"/>
        <w:numPr>
          <w:ilvl w:val="0"/>
          <w:numId w:val="8"/>
        </w:numPr>
        <w:jc w:val="both"/>
        <w:rPr>
          <w:b/>
          <w:lang w:val="fr-CA"/>
        </w:rPr>
      </w:pPr>
      <w:r w:rsidRPr="009F3831">
        <w:rPr>
          <w:rFonts w:eastAsia="Times New Roman" w:cs="Times New Roman"/>
          <w:color w:val="000000"/>
          <w:lang w:eastAsia="fr-CA"/>
        </w:rPr>
        <w:t>Les cours universitaires de l'hiver 2020 se poursuivent à distance</w:t>
      </w:r>
      <w:r w:rsidR="00903C4C" w:rsidRPr="009F3831">
        <w:rPr>
          <w:rFonts w:eastAsia="Times New Roman" w:cs="Times New Roman"/>
          <w:color w:val="000000"/>
          <w:lang w:eastAsia="fr-CA"/>
        </w:rPr>
        <w:t xml:space="preserve"> selon les capacités des établissements</w:t>
      </w:r>
      <w:r w:rsidRPr="009F3831">
        <w:rPr>
          <w:rFonts w:eastAsia="Times New Roman" w:cs="Times New Roman"/>
          <w:color w:val="000000"/>
          <w:lang w:eastAsia="fr-CA"/>
        </w:rPr>
        <w:t>.</w:t>
      </w:r>
    </w:p>
    <w:p w14:paraId="155B38C4" w14:textId="074A324D" w:rsidR="00903C4C" w:rsidRPr="009F3831" w:rsidRDefault="00903C4C" w:rsidP="00555D70">
      <w:pPr>
        <w:pStyle w:val="Lijstalinea"/>
        <w:numPr>
          <w:ilvl w:val="0"/>
          <w:numId w:val="8"/>
        </w:numPr>
        <w:jc w:val="both"/>
        <w:rPr>
          <w:b/>
          <w:lang w:val="fr-CA"/>
        </w:rPr>
      </w:pPr>
      <w:r w:rsidRPr="009F3831">
        <w:rPr>
          <w:rFonts w:eastAsia="Times New Roman" w:cs="Times New Roman"/>
          <w:color w:val="000000"/>
          <w:lang w:eastAsia="fr-CA"/>
        </w:rPr>
        <w:t>Les dirigeants d’établissement</w:t>
      </w:r>
      <w:r w:rsidR="001966FC" w:rsidRPr="009F3831">
        <w:rPr>
          <w:rFonts w:eastAsia="Times New Roman" w:cs="Times New Roman"/>
          <w:color w:val="000000"/>
          <w:lang w:eastAsia="fr-CA"/>
        </w:rPr>
        <w:t>s</w:t>
      </w:r>
      <w:r w:rsidRPr="009F3831">
        <w:rPr>
          <w:rFonts w:eastAsia="Times New Roman" w:cs="Times New Roman"/>
          <w:color w:val="000000"/>
          <w:lang w:eastAsia="fr-CA"/>
        </w:rPr>
        <w:t xml:space="preserve"> sont appelés à mobiliser l’ensemble du personnel afin de mettre en place des mesures de soutien psychologique et pédagogique destiné</w:t>
      </w:r>
      <w:r w:rsidR="00E934E0" w:rsidRPr="009F3831">
        <w:rPr>
          <w:rFonts w:eastAsia="Times New Roman" w:cs="Times New Roman"/>
          <w:color w:val="000000"/>
          <w:lang w:eastAsia="fr-CA"/>
        </w:rPr>
        <w:t>e</w:t>
      </w:r>
      <w:r w:rsidRPr="009F3831">
        <w:rPr>
          <w:rFonts w:eastAsia="Times New Roman" w:cs="Times New Roman"/>
          <w:color w:val="000000"/>
          <w:lang w:eastAsia="fr-CA"/>
        </w:rPr>
        <w:t xml:space="preserve">s aux étudiants. </w:t>
      </w:r>
    </w:p>
    <w:p w14:paraId="454B164C" w14:textId="4DBC3020" w:rsidR="00995EF3" w:rsidRPr="009F3831" w:rsidRDefault="00995EF3" w:rsidP="00555D70">
      <w:pPr>
        <w:pStyle w:val="Lijstalinea"/>
        <w:numPr>
          <w:ilvl w:val="0"/>
          <w:numId w:val="8"/>
        </w:numPr>
        <w:jc w:val="both"/>
        <w:rPr>
          <w:b/>
          <w:lang w:val="fr-CA"/>
        </w:rPr>
      </w:pPr>
      <w:r w:rsidRPr="009F3831">
        <w:rPr>
          <w:rFonts w:eastAsia="Times New Roman" w:cs="Times New Roman"/>
          <w:color w:val="000000"/>
          <w:lang w:eastAsia="fr-CA"/>
        </w:rPr>
        <w:t xml:space="preserve">Les professeurs ainsi que les chargés de cours sont appelés à faciliter la reconnaissance des acquis, favoriser d’autres modes d’acquisition des compétences et éviter </w:t>
      </w:r>
      <w:r w:rsidR="00903C4C" w:rsidRPr="009F3831">
        <w:rPr>
          <w:rFonts w:eastAsia="Times New Roman" w:cs="Times New Roman"/>
          <w:color w:val="000000"/>
          <w:lang w:eastAsia="fr-CA"/>
        </w:rPr>
        <w:t xml:space="preserve">à éviter les reprises de session ou de stage. </w:t>
      </w:r>
    </w:p>
    <w:p w14:paraId="478F0EF2" w14:textId="3CC7F9F6" w:rsidR="00903C4C" w:rsidRPr="009F3831" w:rsidRDefault="00903C4C" w:rsidP="00555D70">
      <w:pPr>
        <w:pStyle w:val="Lijstalinea"/>
        <w:numPr>
          <w:ilvl w:val="0"/>
          <w:numId w:val="8"/>
        </w:numPr>
        <w:jc w:val="both"/>
        <w:rPr>
          <w:lang w:val="fr-CA"/>
        </w:rPr>
      </w:pPr>
      <w:r w:rsidRPr="009F3831">
        <w:rPr>
          <w:lang w:val="fr-CA"/>
        </w:rPr>
        <w:t xml:space="preserve">De nouveaux mécanismes sont mis en place pour permettre la possibilité pour tout étudiant de se voir octroyer des mentions telles que « réussite » et « succès » lorsque les professeurs et les chargés de cours jugent que les apprentissages réalisés par les étudiants sont suffisants. Les étudiants peuvent abandonner leurs cours sans encourir de pénalité ou de mention d’échec. </w:t>
      </w:r>
    </w:p>
    <w:p w14:paraId="2B20F630" w14:textId="77777777" w:rsidR="00B00C3E" w:rsidRPr="009F3831" w:rsidRDefault="00B00C3E" w:rsidP="00B00C3E">
      <w:pPr>
        <w:spacing w:after="0" w:line="240" w:lineRule="auto"/>
        <w:rPr>
          <w:rFonts w:eastAsia="Times New Roman"/>
          <w:color w:val="7F7F7F" w:themeColor="text1" w:themeTint="80"/>
          <w:highlight w:val="yellow"/>
          <w:lang w:val="en-US"/>
        </w:rPr>
      </w:pPr>
      <w:r w:rsidRPr="009F3831">
        <w:rPr>
          <w:rFonts w:eastAsia="Times New Roman"/>
          <w:color w:val="7F7F7F" w:themeColor="text1" w:themeTint="80"/>
          <w:highlight w:val="yellow"/>
          <w:lang w:val="en-US"/>
        </w:rPr>
        <w:t xml:space="preserve">Describe the ‘normalisation’ process </w:t>
      </w:r>
    </w:p>
    <w:p w14:paraId="2A915426" w14:textId="77777777" w:rsidR="00B00C3E" w:rsidRPr="009F3831" w:rsidRDefault="00B00C3E" w:rsidP="00B00C3E">
      <w:pPr>
        <w:pStyle w:val="Lijstalinea"/>
        <w:numPr>
          <w:ilvl w:val="0"/>
          <w:numId w:val="7"/>
        </w:numPr>
        <w:rPr>
          <w:color w:val="7F7F7F" w:themeColor="text1" w:themeTint="80"/>
          <w:highlight w:val="yellow"/>
          <w:lang w:val="en-US"/>
        </w:rPr>
      </w:pPr>
      <w:r w:rsidRPr="009F3831">
        <w:rPr>
          <w:color w:val="7F7F7F" w:themeColor="text1" w:themeTint="80"/>
          <w:highlight w:val="yellow"/>
          <w:lang w:val="en-US"/>
        </w:rPr>
        <w:t xml:space="preserve">Which were the main measures adopted </w:t>
      </w:r>
      <w:r w:rsidRPr="009F3831">
        <w:rPr>
          <w:color w:val="FF0000"/>
          <w:highlight w:val="yellow"/>
          <w:lang w:val="en-US"/>
        </w:rPr>
        <w:t xml:space="preserve">during the normalisation process </w:t>
      </w:r>
      <w:r w:rsidRPr="009F3831">
        <w:rPr>
          <w:color w:val="7F7F7F" w:themeColor="text1" w:themeTint="80"/>
          <w:highlight w:val="yellow"/>
          <w:lang w:val="en-US"/>
        </w:rPr>
        <w:t>(particularly those measures related to teaching and learning)? Specify if relevant the education level concerned e.g. primary, vocational, higher education, special needs, others, …</w:t>
      </w:r>
    </w:p>
    <w:p w14:paraId="2DFE0413" w14:textId="1E280DCA" w:rsidR="00A160DA" w:rsidRPr="009F3831" w:rsidRDefault="00807B98" w:rsidP="00807B98">
      <w:pPr>
        <w:rPr>
          <w:b/>
          <w:lang w:val="fr-CA"/>
        </w:rPr>
      </w:pPr>
      <w:r w:rsidRPr="009F3831">
        <w:rPr>
          <w:b/>
          <w:lang w:val="fr-CA"/>
        </w:rPr>
        <w:t xml:space="preserve">Réouverture des </w:t>
      </w:r>
      <w:r w:rsidR="00574690" w:rsidRPr="009F3831">
        <w:rPr>
          <w:b/>
          <w:lang w:val="fr-CA"/>
        </w:rPr>
        <w:t>établissements préscolaires et primaires</w:t>
      </w:r>
      <w:r w:rsidRPr="009F3831">
        <w:rPr>
          <w:b/>
          <w:lang w:val="fr-CA"/>
        </w:rPr>
        <w:t xml:space="preserve"> à partir du 11 mai</w:t>
      </w:r>
      <w:r w:rsidR="00C228A7" w:rsidRPr="009F3831">
        <w:rPr>
          <w:b/>
          <w:lang w:val="fr-CA"/>
        </w:rPr>
        <w:t xml:space="preserve"> hors de la région métropolitaine</w:t>
      </w:r>
      <w:r w:rsidR="00FA448D" w:rsidRPr="009F3831">
        <w:rPr>
          <w:b/>
          <w:lang w:val="fr-CA"/>
        </w:rPr>
        <w:t xml:space="preserve"> (Montréal)</w:t>
      </w:r>
    </w:p>
    <w:p w14:paraId="6EEB360A" w14:textId="5CE13A08" w:rsidR="00807B98" w:rsidRPr="009F3831" w:rsidRDefault="00574690" w:rsidP="00555D70">
      <w:pPr>
        <w:pStyle w:val="Lijstalinea"/>
        <w:numPr>
          <w:ilvl w:val="0"/>
          <w:numId w:val="9"/>
        </w:numPr>
        <w:jc w:val="both"/>
        <w:rPr>
          <w:lang w:val="fr-CA"/>
        </w:rPr>
      </w:pPr>
      <w:r w:rsidRPr="009F3831">
        <w:rPr>
          <w:lang w:val="fr-CA"/>
        </w:rPr>
        <w:t>Les activités régulières des services de garde scolaire reprennent (le Québec est la première juridiction nord-américaine à rouvrir ses établissements</w:t>
      </w:r>
      <w:r w:rsidR="008D1238" w:rsidRPr="009F3831">
        <w:rPr>
          <w:lang w:val="fr-CA"/>
        </w:rPr>
        <w:t xml:space="preserve"> hors de sa métropole</w:t>
      </w:r>
      <w:r w:rsidRPr="009F3831">
        <w:rPr>
          <w:lang w:val="fr-CA"/>
        </w:rPr>
        <w:t>)</w:t>
      </w:r>
      <w:r w:rsidR="008D1238" w:rsidRPr="009F3831">
        <w:rPr>
          <w:lang w:val="fr-CA"/>
        </w:rPr>
        <w:t>. Le retour est volontaire et les parents qui choisissent de poursuivre la consolidation des acquis et de compléter l’apprentissage des savoirs de leur enfant à domicile bénéficie</w:t>
      </w:r>
      <w:r w:rsidR="00E934E0" w:rsidRPr="009F3831">
        <w:rPr>
          <w:lang w:val="fr-CA"/>
        </w:rPr>
        <w:t>nt</w:t>
      </w:r>
      <w:r w:rsidR="008D1238" w:rsidRPr="009F3831">
        <w:rPr>
          <w:lang w:val="fr-CA"/>
        </w:rPr>
        <w:t xml:space="preserve"> d’un encadrement pédagogique de l’école. </w:t>
      </w:r>
    </w:p>
    <w:p w14:paraId="5B86AF19" w14:textId="77777777" w:rsidR="006C5F81" w:rsidRPr="009F3831" w:rsidRDefault="00501BD1" w:rsidP="00555D70">
      <w:pPr>
        <w:pStyle w:val="Lijstalinea"/>
        <w:numPr>
          <w:ilvl w:val="0"/>
          <w:numId w:val="9"/>
        </w:numPr>
        <w:jc w:val="both"/>
        <w:rPr>
          <w:lang w:val="fr-CA"/>
        </w:rPr>
      </w:pPr>
      <w:r w:rsidRPr="009F3831">
        <w:rPr>
          <w:lang w:val="fr-CA"/>
        </w:rPr>
        <w:lastRenderedPageBreak/>
        <w:t>Les écoles doivent contacter les élèves vulnérables en priorité</w:t>
      </w:r>
      <w:r w:rsidR="006C5F81" w:rsidRPr="009F3831">
        <w:rPr>
          <w:lang w:val="fr-CA"/>
        </w:rPr>
        <w:t>.</w:t>
      </w:r>
    </w:p>
    <w:p w14:paraId="73E4DDE9" w14:textId="04BF3183" w:rsidR="00FC3FC4" w:rsidRPr="009F3831" w:rsidRDefault="006C5F81" w:rsidP="007D0AAB">
      <w:pPr>
        <w:rPr>
          <w:lang w:val="fr-CA"/>
        </w:rPr>
      </w:pPr>
      <w:r w:rsidRPr="009F3831">
        <w:rPr>
          <w:b/>
          <w:lang w:val="fr-CA"/>
        </w:rPr>
        <w:t>Les écoles secondaires restent fermées jusqu’en septembre 2020</w:t>
      </w:r>
      <w:r w:rsidRPr="009F3831">
        <w:rPr>
          <w:lang w:val="fr-CA"/>
        </w:rPr>
        <w:t xml:space="preserve"> </w:t>
      </w:r>
    </w:p>
    <w:p w14:paraId="30F8ED7A" w14:textId="75069812" w:rsidR="00574690" w:rsidRPr="009F3831" w:rsidRDefault="006C5F81" w:rsidP="00555D70">
      <w:pPr>
        <w:pStyle w:val="Lijstalinea"/>
        <w:numPr>
          <w:ilvl w:val="0"/>
          <w:numId w:val="10"/>
        </w:numPr>
        <w:jc w:val="both"/>
        <w:rPr>
          <w:lang w:val="fr-CA"/>
        </w:rPr>
      </w:pPr>
      <w:r w:rsidRPr="009F3831">
        <w:rPr>
          <w:lang w:val="fr-CA"/>
        </w:rPr>
        <w:t xml:space="preserve">Les élèves doivent compléter l’apprentissage des savoirs essentiels jugés essentiels d’ici la fin de l’année scolaire. </w:t>
      </w:r>
      <w:r w:rsidR="007D0AAB" w:rsidRPr="009F3831">
        <w:rPr>
          <w:lang w:val="fr-CA"/>
        </w:rPr>
        <w:t>Des balises et lignes directrices quant aux modalités d’encadrements de l’enseignement à distance sont énoncé</w:t>
      </w:r>
      <w:r w:rsidR="00E934E0" w:rsidRPr="009F3831">
        <w:rPr>
          <w:lang w:val="fr-CA"/>
        </w:rPr>
        <w:t>e</w:t>
      </w:r>
      <w:r w:rsidR="007D0AAB" w:rsidRPr="009F3831">
        <w:rPr>
          <w:lang w:val="fr-CA"/>
        </w:rPr>
        <w:t>s (ex : le nombre de contacts directs est quantifié pour chaque ordre d’enseignement)</w:t>
      </w:r>
    </w:p>
    <w:p w14:paraId="704A5E53" w14:textId="13D37996" w:rsidR="00FC3FC4" w:rsidRPr="009F3831" w:rsidRDefault="00FC3FC4" w:rsidP="00555D70">
      <w:pPr>
        <w:pStyle w:val="Lijstalinea"/>
        <w:numPr>
          <w:ilvl w:val="0"/>
          <w:numId w:val="9"/>
        </w:numPr>
        <w:jc w:val="both"/>
        <w:rPr>
          <w:lang w:val="fr-CA"/>
        </w:rPr>
      </w:pPr>
      <w:r w:rsidRPr="009F3831">
        <w:rPr>
          <w:lang w:val="fr-CA"/>
        </w:rPr>
        <w:t xml:space="preserve">Les services éducatifs et d’enseignement à la formation professionnelle reprennent en classe. À la formation générale des adultes, la passation des examens ministériels et locaux en classes est permise suivant certaines règles </w:t>
      </w:r>
      <w:r w:rsidR="00C228A7" w:rsidRPr="009F3831">
        <w:rPr>
          <w:lang w:val="fr-CA"/>
        </w:rPr>
        <w:t xml:space="preserve">de </w:t>
      </w:r>
      <w:r w:rsidRPr="009F3831">
        <w:rPr>
          <w:lang w:val="fr-CA"/>
        </w:rPr>
        <w:t>santé publique.</w:t>
      </w:r>
    </w:p>
    <w:p w14:paraId="26885898" w14:textId="0773D1AB" w:rsidR="007D0AAB" w:rsidRPr="009F3831" w:rsidRDefault="00FC3FC4" w:rsidP="00555D70">
      <w:pPr>
        <w:pStyle w:val="Lijstalinea"/>
        <w:numPr>
          <w:ilvl w:val="0"/>
          <w:numId w:val="9"/>
        </w:numPr>
        <w:jc w:val="both"/>
        <w:rPr>
          <w:lang w:val="fr-CA"/>
        </w:rPr>
      </w:pPr>
      <w:r w:rsidRPr="009F3831">
        <w:rPr>
          <w:lang w:val="fr-CA"/>
        </w:rPr>
        <w:t xml:space="preserve">Le prêt de matériel technologique est facilité par des achats massifs d’outils technologiques. </w:t>
      </w:r>
    </w:p>
    <w:p w14:paraId="013F3A3B" w14:textId="10A6FA79" w:rsidR="00F33029" w:rsidRPr="009F3831" w:rsidRDefault="00F33029" w:rsidP="00F33029">
      <w:pPr>
        <w:rPr>
          <w:b/>
          <w:lang w:val="fr-CA"/>
        </w:rPr>
      </w:pPr>
      <w:r w:rsidRPr="009F3831">
        <w:rPr>
          <w:b/>
          <w:lang w:val="fr-CA"/>
        </w:rPr>
        <w:t>Mesures mises en place en vue de la rentrée scolaire 2020</w:t>
      </w:r>
    </w:p>
    <w:p w14:paraId="772C992F" w14:textId="6E6DCFF0" w:rsidR="00F33029" w:rsidRPr="009F3831" w:rsidRDefault="00F33029" w:rsidP="00F734A9">
      <w:pPr>
        <w:pStyle w:val="Lijstalinea"/>
        <w:numPr>
          <w:ilvl w:val="0"/>
          <w:numId w:val="9"/>
        </w:numPr>
        <w:jc w:val="both"/>
        <w:rPr>
          <w:lang w:val="fr-CA"/>
        </w:rPr>
      </w:pPr>
      <w:r w:rsidRPr="009F3831">
        <w:rPr>
          <w:lang w:val="fr-CA"/>
        </w:rPr>
        <w:t>Pour les élèves du préscolaire et du primaire jusqu’à la 3e secondaire: 100 % des élèves de retour en classe. Ratios habituels d’élèves par groupe. Maintien de groupes fermés formés d’élèves qui demeurent dans leur local de classe respectif.</w:t>
      </w:r>
      <w:r w:rsidR="00F734A9" w:rsidRPr="009F3831">
        <w:rPr>
          <w:lang w:val="fr-CA"/>
        </w:rPr>
        <w:t xml:space="preserve"> Les élèves de 5e</w:t>
      </w:r>
      <w:r w:rsidR="00F734A9" w:rsidRPr="009F3831">
        <w:rPr>
          <w:b/>
          <w:bCs/>
          <w:lang w:val="fr-CA"/>
        </w:rPr>
        <w:t xml:space="preserve"> </w:t>
      </w:r>
      <w:r w:rsidR="00F734A9" w:rsidRPr="009F3831">
        <w:rPr>
          <w:lang w:val="fr-CA"/>
        </w:rPr>
        <w:t>et 6e</w:t>
      </w:r>
      <w:r w:rsidR="00F734A9" w:rsidRPr="009F3831">
        <w:rPr>
          <w:b/>
          <w:bCs/>
          <w:lang w:val="fr-CA"/>
        </w:rPr>
        <w:t xml:space="preserve"> </w:t>
      </w:r>
      <w:r w:rsidR="00F734A9" w:rsidRPr="009F3831">
        <w:rPr>
          <w:lang w:val="fr-CA"/>
        </w:rPr>
        <w:t>années doivent obligatoirement porter le couvre-visage.</w:t>
      </w:r>
    </w:p>
    <w:p w14:paraId="4E6B9485" w14:textId="4C09A5BC" w:rsidR="00F33029" w:rsidRPr="009F3831" w:rsidRDefault="00BF7514" w:rsidP="000510A8">
      <w:pPr>
        <w:pStyle w:val="Lijstalinea"/>
        <w:numPr>
          <w:ilvl w:val="0"/>
          <w:numId w:val="9"/>
        </w:numPr>
        <w:jc w:val="both"/>
        <w:rPr>
          <w:lang w:val="fr-CA"/>
        </w:rPr>
      </w:pPr>
      <w:r w:rsidRPr="009F3831">
        <w:rPr>
          <w:lang w:val="fr-CA"/>
        </w:rPr>
        <w:t>L</w:t>
      </w:r>
      <w:r w:rsidR="00F33029" w:rsidRPr="009F3831">
        <w:rPr>
          <w:lang w:val="fr-CA"/>
        </w:rPr>
        <w:t xml:space="preserve">es élèves de 4e et 5e secondaire </w:t>
      </w:r>
      <w:r w:rsidRPr="009F3831">
        <w:rPr>
          <w:lang w:val="fr-CA"/>
        </w:rPr>
        <w:t xml:space="preserve">pourront revenir en classe </w:t>
      </w:r>
      <w:r w:rsidR="00F33029" w:rsidRPr="009F3831">
        <w:rPr>
          <w:lang w:val="fr-CA"/>
        </w:rPr>
        <w:t>si le maintien de groupes fermés est possible.</w:t>
      </w:r>
      <w:r w:rsidR="00F734A9" w:rsidRPr="009F3831">
        <w:rPr>
          <w:lang w:val="fr-CA"/>
        </w:rPr>
        <w:t xml:space="preserve"> Les élèves du secondaire doivent obligatoirement porter le couvre-visage.</w:t>
      </w:r>
    </w:p>
    <w:p w14:paraId="30C4978A" w14:textId="3928709C" w:rsidR="00F33029" w:rsidRPr="009F3831" w:rsidRDefault="00F33029" w:rsidP="00555D70">
      <w:pPr>
        <w:pStyle w:val="Lijstalinea"/>
        <w:numPr>
          <w:ilvl w:val="0"/>
          <w:numId w:val="9"/>
        </w:numPr>
        <w:jc w:val="both"/>
        <w:rPr>
          <w:lang w:val="fr-CA"/>
        </w:rPr>
      </w:pPr>
      <w:r w:rsidRPr="009F3831">
        <w:rPr>
          <w:lang w:val="fr-CA"/>
        </w:rPr>
        <w:t>Enseignement en classe privilégié</w:t>
      </w:r>
      <w:r w:rsidR="00E934E0" w:rsidRPr="009F3831">
        <w:rPr>
          <w:lang w:val="fr-CA"/>
        </w:rPr>
        <w:t>e</w:t>
      </w:r>
      <w:r w:rsidRPr="009F3831">
        <w:rPr>
          <w:lang w:val="fr-CA"/>
        </w:rPr>
        <w:t xml:space="preserve"> si le contexte le permet en </w:t>
      </w:r>
      <w:r w:rsidR="00BF7514" w:rsidRPr="009F3831">
        <w:rPr>
          <w:lang w:val="fr-CA"/>
        </w:rPr>
        <w:t xml:space="preserve">formation professionnelle et en formation générale des adultes. </w:t>
      </w:r>
    </w:p>
    <w:p w14:paraId="70E3B272" w14:textId="1CD4F4EB" w:rsidR="00F33029" w:rsidRPr="009F3831" w:rsidRDefault="00F33029" w:rsidP="00555D70">
      <w:pPr>
        <w:pStyle w:val="Lijstalinea"/>
        <w:numPr>
          <w:ilvl w:val="0"/>
          <w:numId w:val="9"/>
        </w:numPr>
        <w:jc w:val="both"/>
        <w:rPr>
          <w:lang w:val="fr-CA"/>
        </w:rPr>
      </w:pPr>
      <w:r w:rsidRPr="009F3831">
        <w:rPr>
          <w:lang w:val="fr-CA"/>
        </w:rPr>
        <w:t>Tous les élèves auront accès à un outil, technologique ou autre, leur permettant de poursuivre les services éducatifs à distance advenant une nouvelle fermeture des établissements.</w:t>
      </w:r>
    </w:p>
    <w:p w14:paraId="6E962178" w14:textId="7698DB49" w:rsidR="00F33029" w:rsidRPr="009F3831" w:rsidRDefault="00F33029" w:rsidP="00555D70">
      <w:pPr>
        <w:pStyle w:val="Lijstalinea"/>
        <w:numPr>
          <w:ilvl w:val="0"/>
          <w:numId w:val="9"/>
        </w:numPr>
        <w:jc w:val="both"/>
        <w:rPr>
          <w:lang w:val="fr-CA"/>
        </w:rPr>
      </w:pPr>
      <w:r w:rsidRPr="009F3831">
        <w:rPr>
          <w:lang w:val="fr-CA"/>
        </w:rPr>
        <w:t>Les établissements doivent rédig</w:t>
      </w:r>
      <w:r w:rsidR="00E934E0" w:rsidRPr="009F3831">
        <w:rPr>
          <w:lang w:val="fr-CA"/>
        </w:rPr>
        <w:t>er</w:t>
      </w:r>
      <w:r w:rsidRPr="009F3831">
        <w:rPr>
          <w:lang w:val="fr-CA"/>
        </w:rPr>
        <w:t xml:space="preserve"> un </w:t>
      </w:r>
      <w:r w:rsidR="00F734A9" w:rsidRPr="009F3831">
        <w:rPr>
          <w:lang w:val="fr-CA"/>
        </w:rPr>
        <w:t>protocole d'urgence.</w:t>
      </w:r>
    </w:p>
    <w:p w14:paraId="294FCF14" w14:textId="6A961185" w:rsidR="00F734A9" w:rsidRPr="009F3831" w:rsidRDefault="00F734A9" w:rsidP="00555D70">
      <w:pPr>
        <w:pStyle w:val="Lijstalinea"/>
        <w:numPr>
          <w:ilvl w:val="0"/>
          <w:numId w:val="9"/>
        </w:numPr>
        <w:jc w:val="both"/>
        <w:rPr>
          <w:lang w:val="fr-CA"/>
        </w:rPr>
      </w:pPr>
      <w:r w:rsidRPr="009F3831">
        <w:rPr>
          <w:lang w:val="fr-CA"/>
        </w:rPr>
        <w:t>Injection de nouvelles sommes pour le soutien à l’apprentissage et à l’engagement scolaire</w:t>
      </w:r>
      <w:r w:rsidR="0079273A" w:rsidRPr="009F3831">
        <w:rPr>
          <w:lang w:val="fr-CA"/>
        </w:rPr>
        <w:t>, le raccrochage scolaire chez les jeunes, l’achat de matériels de sécurité et la rénovation des écoles (ventilation, fenêtre, salles de bain, etc.)</w:t>
      </w:r>
      <w:r w:rsidRPr="009F3831">
        <w:rPr>
          <w:lang w:val="fr-CA"/>
        </w:rPr>
        <w:t xml:space="preserve">. </w:t>
      </w:r>
    </w:p>
    <w:p w14:paraId="75C80249" w14:textId="6A9BC483" w:rsidR="00F734A9" w:rsidRPr="009F3831" w:rsidRDefault="00F734A9" w:rsidP="00555D70">
      <w:pPr>
        <w:pStyle w:val="Lijstalinea"/>
        <w:numPr>
          <w:ilvl w:val="0"/>
          <w:numId w:val="9"/>
        </w:numPr>
        <w:jc w:val="both"/>
        <w:rPr>
          <w:rFonts w:cs="Roboto-Light"/>
          <w:color w:val="000000"/>
        </w:rPr>
      </w:pPr>
      <w:r w:rsidRPr="009F3831">
        <w:rPr>
          <w:lang w:val="fr-CA"/>
        </w:rPr>
        <w:t>L’établissement aura le choix du type de ressources (encadrement pédagogique personnalisé, atelier de prévention, ajout d’heures</w:t>
      </w:r>
      <w:r w:rsidRPr="009F3831">
        <w:rPr>
          <w:rFonts w:cs="Roboto-Light"/>
          <w:color w:val="000000"/>
        </w:rPr>
        <w:t xml:space="preserve"> en services complémentaires, embauche</w:t>
      </w:r>
      <w:r w:rsidR="007C5A48" w:rsidRPr="009F3831">
        <w:rPr>
          <w:rFonts w:cs="Roboto-Light"/>
          <w:color w:val="000000"/>
        </w:rPr>
        <w:t>s</w:t>
      </w:r>
      <w:r w:rsidRPr="009F3831">
        <w:rPr>
          <w:rFonts w:cs="Roboto-Light"/>
          <w:color w:val="000000"/>
        </w:rPr>
        <w:t xml:space="preserve"> diverse</w:t>
      </w:r>
      <w:r w:rsidR="007C5A48" w:rsidRPr="009F3831">
        <w:rPr>
          <w:rFonts w:cs="Roboto-Light"/>
          <w:color w:val="000000"/>
        </w:rPr>
        <w:t>s</w:t>
      </w:r>
      <w:r w:rsidRPr="009F3831">
        <w:rPr>
          <w:rFonts w:cs="Roboto-Light"/>
          <w:color w:val="000000"/>
        </w:rPr>
        <w:t>).</w:t>
      </w:r>
    </w:p>
    <w:p w14:paraId="0D6D48CB" w14:textId="78DFDA1A" w:rsidR="00F734A9" w:rsidRPr="009F3831" w:rsidRDefault="00F734A9" w:rsidP="00555D70">
      <w:pPr>
        <w:pStyle w:val="Lijstalinea"/>
        <w:numPr>
          <w:ilvl w:val="0"/>
          <w:numId w:val="9"/>
        </w:numPr>
        <w:jc w:val="both"/>
        <w:rPr>
          <w:lang w:val="fr-CA"/>
        </w:rPr>
      </w:pPr>
      <w:r w:rsidRPr="009F3831">
        <w:rPr>
          <w:lang w:val="fr-CA"/>
        </w:rPr>
        <w:t>Reconduction sans condition de budgets associés aux élèves en difficulté sans la nécessité des évaluations administratives (économie de temps pour réinvestiss</w:t>
      </w:r>
      <w:r w:rsidR="00E934E0" w:rsidRPr="009F3831">
        <w:rPr>
          <w:lang w:val="fr-CA"/>
        </w:rPr>
        <w:t>e</w:t>
      </w:r>
      <w:r w:rsidRPr="009F3831">
        <w:rPr>
          <w:lang w:val="fr-CA"/>
        </w:rPr>
        <w:t>ment dans les services directs).</w:t>
      </w:r>
    </w:p>
    <w:p w14:paraId="02EE540C" w14:textId="045E6176" w:rsidR="006A2D51" w:rsidRPr="009F3831" w:rsidRDefault="006A2D51" w:rsidP="00555D70">
      <w:pPr>
        <w:pStyle w:val="Lijstalinea"/>
        <w:numPr>
          <w:ilvl w:val="0"/>
          <w:numId w:val="7"/>
        </w:numPr>
        <w:autoSpaceDE w:val="0"/>
        <w:autoSpaceDN w:val="0"/>
        <w:adjustRightInd w:val="0"/>
        <w:spacing w:after="0" w:line="240" w:lineRule="auto"/>
        <w:ind w:left="709"/>
        <w:jc w:val="both"/>
        <w:rPr>
          <w:rFonts w:cs="Roboto-Light"/>
          <w:color w:val="000000"/>
        </w:rPr>
      </w:pPr>
      <w:r w:rsidRPr="009F3831">
        <w:rPr>
          <w:rFonts w:cs="Roboto-Light"/>
          <w:color w:val="000000"/>
        </w:rPr>
        <w:t>Production de capsules pédagogiques diffusées sur le Web.</w:t>
      </w:r>
    </w:p>
    <w:p w14:paraId="33CD918F" w14:textId="75FFCA58" w:rsidR="006A2D51" w:rsidRPr="009F3831" w:rsidRDefault="00CD77AD" w:rsidP="00555D70">
      <w:pPr>
        <w:pStyle w:val="Lijstalinea"/>
        <w:numPr>
          <w:ilvl w:val="0"/>
          <w:numId w:val="7"/>
        </w:numPr>
        <w:autoSpaceDE w:val="0"/>
        <w:autoSpaceDN w:val="0"/>
        <w:adjustRightInd w:val="0"/>
        <w:spacing w:after="0" w:line="240" w:lineRule="auto"/>
        <w:ind w:left="709"/>
        <w:jc w:val="both"/>
        <w:rPr>
          <w:rFonts w:cs="Roboto-Light"/>
          <w:color w:val="000000"/>
        </w:rPr>
      </w:pPr>
      <w:r w:rsidRPr="009F3831">
        <w:rPr>
          <w:rFonts w:cs="Roboto-Light"/>
          <w:color w:val="000000"/>
        </w:rPr>
        <w:t xml:space="preserve">Mise en ligne d’une </w:t>
      </w:r>
      <w:hyperlink r:id="rId17" w:history="1">
        <w:r w:rsidRPr="009F3831">
          <w:rPr>
            <w:rStyle w:val="Hyperlink"/>
            <w:rFonts w:cs="Roboto-Light"/>
          </w:rPr>
          <w:t>formation</w:t>
        </w:r>
      </w:hyperlink>
      <w:r w:rsidRPr="009F3831">
        <w:rPr>
          <w:rFonts w:cs="Roboto-Light"/>
          <w:color w:val="000000"/>
        </w:rPr>
        <w:t xml:space="preserve"> sur </w:t>
      </w:r>
      <w:hyperlink r:id="rId18" w:history="1">
        <w:r w:rsidRPr="009F3831">
          <w:rPr>
            <w:rStyle w:val="Hyperlink"/>
            <w:rFonts w:cs="Roboto-Light"/>
          </w:rPr>
          <w:t>YouTube</w:t>
        </w:r>
      </w:hyperlink>
      <w:r w:rsidRPr="009F3831">
        <w:rPr>
          <w:rFonts w:cs="Roboto-Light"/>
          <w:color w:val="000000"/>
        </w:rPr>
        <w:t xml:space="preserve"> portant sur la mise en œuvre des programmes d’études et la reprise des apprentissages scolaires. </w:t>
      </w:r>
    </w:p>
    <w:p w14:paraId="71027B64" w14:textId="406B59AC" w:rsidR="00CD77AD" w:rsidRPr="009F3831" w:rsidRDefault="00CD77AD" w:rsidP="00555D70">
      <w:pPr>
        <w:pStyle w:val="Lijstalinea"/>
        <w:numPr>
          <w:ilvl w:val="0"/>
          <w:numId w:val="7"/>
        </w:numPr>
        <w:autoSpaceDE w:val="0"/>
        <w:autoSpaceDN w:val="0"/>
        <w:adjustRightInd w:val="0"/>
        <w:spacing w:after="0" w:line="240" w:lineRule="auto"/>
        <w:ind w:left="709"/>
        <w:jc w:val="both"/>
        <w:rPr>
          <w:rFonts w:cs="Roboto-Light"/>
          <w:color w:val="000000"/>
        </w:rPr>
      </w:pPr>
      <w:r w:rsidRPr="009F3831">
        <w:rPr>
          <w:rFonts w:cs="Roboto-Light"/>
          <w:color w:val="000000"/>
        </w:rPr>
        <w:t>Distribution d</w:t>
      </w:r>
      <w:r w:rsidRPr="009F3831">
        <w:t>’aide-mémoire</w:t>
      </w:r>
      <w:r w:rsidRPr="009F3831">
        <w:rPr>
          <w:rFonts w:cs="Roboto-Light"/>
          <w:color w:val="000000"/>
        </w:rPr>
        <w:t xml:space="preserve"> pour alimenter les réflexions des enseignants et des conseillers pédagogiques dans l’identification des apprentissages essentiels.</w:t>
      </w:r>
    </w:p>
    <w:p w14:paraId="1B8BE1B4" w14:textId="6127F56A" w:rsidR="009010B6" w:rsidRPr="009F3831" w:rsidRDefault="009010B6" w:rsidP="009010B6">
      <w:pPr>
        <w:autoSpaceDE w:val="0"/>
        <w:autoSpaceDN w:val="0"/>
        <w:adjustRightInd w:val="0"/>
        <w:spacing w:after="0" w:line="240" w:lineRule="auto"/>
        <w:rPr>
          <w:rFonts w:cs="Roboto-Light"/>
          <w:color w:val="000000"/>
        </w:rPr>
      </w:pPr>
    </w:p>
    <w:p w14:paraId="54FEDC37" w14:textId="4B86EB76" w:rsidR="009010B6" w:rsidRPr="009F3831" w:rsidRDefault="009010B6" w:rsidP="009010B6">
      <w:pPr>
        <w:autoSpaceDE w:val="0"/>
        <w:autoSpaceDN w:val="0"/>
        <w:adjustRightInd w:val="0"/>
        <w:spacing w:after="0" w:line="240" w:lineRule="auto"/>
        <w:rPr>
          <w:rFonts w:cs="Roboto-Light"/>
          <w:color w:val="000000"/>
        </w:rPr>
      </w:pPr>
      <w:r w:rsidRPr="009F3831">
        <w:rPr>
          <w:b/>
          <w:lang w:val="fr-CA"/>
        </w:rPr>
        <w:t xml:space="preserve">Mesures mises en place en vue de la rentrée en </w:t>
      </w:r>
      <w:r w:rsidRPr="009F3831">
        <w:rPr>
          <w:rFonts w:cs="Roboto-Light"/>
          <w:b/>
          <w:color w:val="000000"/>
        </w:rPr>
        <w:t>enseignement supérieur</w:t>
      </w:r>
      <w:r w:rsidRPr="009F3831">
        <w:rPr>
          <w:rFonts w:cs="Roboto-Light"/>
          <w:color w:val="000000"/>
        </w:rPr>
        <w:t xml:space="preserve"> </w:t>
      </w:r>
    </w:p>
    <w:p w14:paraId="31B0C75E" w14:textId="270CC0F2" w:rsidR="009010B6" w:rsidRPr="009F3831" w:rsidRDefault="009010B6" w:rsidP="000510A8">
      <w:pPr>
        <w:pStyle w:val="Lijstalinea"/>
        <w:numPr>
          <w:ilvl w:val="0"/>
          <w:numId w:val="9"/>
        </w:numPr>
        <w:jc w:val="both"/>
        <w:rPr>
          <w:lang w:val="fr-CA"/>
        </w:rPr>
      </w:pPr>
      <w:r w:rsidRPr="009F3831">
        <w:rPr>
          <w:lang w:val="fr-CA"/>
        </w:rPr>
        <w:t>Les établissements d’enseignement auront une marge de manœuvre dans la mise en place des moyens nécessaires pour atteindre une fréquentation maximale des étudiants en personne pour permettre de tenir compte de leurs particularités. Il leur sera demandé de privilégier les étudiantes et étudiants qui amorcent leur projet d’études, ceux qui sont en situation de handicap et ceux qui ont des besoins particuliers.</w:t>
      </w:r>
    </w:p>
    <w:p w14:paraId="6EA120AA" w14:textId="6FBE775F" w:rsidR="00F734A9" w:rsidRPr="009F3831" w:rsidRDefault="009010B6" w:rsidP="000510A8">
      <w:pPr>
        <w:pStyle w:val="Lijstalinea"/>
        <w:numPr>
          <w:ilvl w:val="0"/>
          <w:numId w:val="9"/>
        </w:numPr>
        <w:jc w:val="both"/>
        <w:rPr>
          <w:lang w:val="fr-CA"/>
        </w:rPr>
      </w:pPr>
      <w:r w:rsidRPr="009F3831">
        <w:rPr>
          <w:lang w:val="fr-CA"/>
        </w:rPr>
        <w:lastRenderedPageBreak/>
        <w:t xml:space="preserve">Les </w:t>
      </w:r>
      <w:r w:rsidR="00CD77AD" w:rsidRPr="009F3831">
        <w:rPr>
          <w:lang w:val="fr-CA"/>
        </w:rPr>
        <w:t>établissem</w:t>
      </w:r>
      <w:r w:rsidRPr="009F3831">
        <w:rPr>
          <w:lang w:val="fr-CA"/>
        </w:rPr>
        <w:t>ents d’enseignement supérieur doivent</w:t>
      </w:r>
      <w:r w:rsidR="00CD77AD" w:rsidRPr="009F3831">
        <w:rPr>
          <w:lang w:val="fr-CA"/>
        </w:rPr>
        <w:t xml:space="preserve"> privilégier une formule hybride</w:t>
      </w:r>
      <w:r w:rsidRPr="009F3831">
        <w:rPr>
          <w:lang w:val="fr-CA"/>
        </w:rPr>
        <w:t xml:space="preserve"> (partie en présence, partie à distance, avec suivis et rétroactions constants)</w:t>
      </w:r>
      <w:r w:rsidR="00CD77AD" w:rsidRPr="009F3831">
        <w:rPr>
          <w:lang w:val="fr-CA"/>
        </w:rPr>
        <w:t xml:space="preserve"> prévoyant des rétroactions et des suivis fréquents auprès des étudiantes et étudiants</w:t>
      </w:r>
      <w:r w:rsidRPr="009F3831">
        <w:rPr>
          <w:lang w:val="fr-CA"/>
        </w:rPr>
        <w:t>.</w:t>
      </w:r>
    </w:p>
    <w:p w14:paraId="2EA08B40" w14:textId="53FCDA49" w:rsidR="00F734A9" w:rsidRPr="009F3831" w:rsidRDefault="009010B6" w:rsidP="000510A8">
      <w:pPr>
        <w:pStyle w:val="Lijstalinea"/>
        <w:numPr>
          <w:ilvl w:val="0"/>
          <w:numId w:val="9"/>
        </w:numPr>
        <w:jc w:val="both"/>
        <w:rPr>
          <w:lang w:val="fr-CA"/>
        </w:rPr>
      </w:pPr>
      <w:r w:rsidRPr="009F3831">
        <w:rPr>
          <w:lang w:val="fr-CA"/>
        </w:rPr>
        <w:t>Tous les établissements devront se doter d’un protocole d’urgence pour être en mesure de basculer rapidement vers l’enseignement à distance en cas de deuxième vague de transmission du virus qui forcerait de nouveau l’interdiction d’accès totale ou partielle aux campus. Ce plan devra notamment prévoir le maintien de la prestation de travail des membres du personnel et de l’encadrement offert aux étudiantes et étudiants pour assurer la poursuite des activités d’enseignement.</w:t>
      </w:r>
    </w:p>
    <w:p w14:paraId="264F0B7F" w14:textId="53431D6D" w:rsidR="009010B6" w:rsidRPr="009F3831" w:rsidRDefault="009010B6" w:rsidP="000510A8">
      <w:pPr>
        <w:pStyle w:val="Lijstalinea"/>
        <w:numPr>
          <w:ilvl w:val="0"/>
          <w:numId w:val="9"/>
        </w:numPr>
        <w:jc w:val="both"/>
        <w:rPr>
          <w:lang w:val="fr-CA"/>
        </w:rPr>
      </w:pPr>
      <w:r w:rsidRPr="009F3831">
        <w:rPr>
          <w:lang w:val="fr-CA"/>
        </w:rPr>
        <w:t>Le remboursement de tous les prêts contractés à l’aide financière aux études est suspendu pour une durée de six mois.</w:t>
      </w:r>
    </w:p>
    <w:p w14:paraId="50CCCFAA" w14:textId="22D83CF4" w:rsidR="00B00C3E" w:rsidRPr="009F3831" w:rsidRDefault="00B00C3E" w:rsidP="00B00C3E">
      <w:pPr>
        <w:pStyle w:val="Lijstalinea"/>
        <w:autoSpaceDE w:val="0"/>
        <w:autoSpaceDN w:val="0"/>
        <w:adjustRightInd w:val="0"/>
        <w:spacing w:after="0" w:line="240" w:lineRule="auto"/>
        <w:ind w:left="1428"/>
        <w:rPr>
          <w:rFonts w:cs="Roboto-Light"/>
          <w:color w:val="000000"/>
        </w:rPr>
      </w:pPr>
    </w:p>
    <w:p w14:paraId="4B7AA5BE" w14:textId="77777777" w:rsidR="00AB0356" w:rsidRPr="009F3831" w:rsidRDefault="00AB0356" w:rsidP="00AB0356">
      <w:pPr>
        <w:pStyle w:val="Lijstalinea"/>
        <w:numPr>
          <w:ilvl w:val="0"/>
          <w:numId w:val="7"/>
        </w:numPr>
        <w:rPr>
          <w:color w:val="7F7F7F" w:themeColor="text1" w:themeTint="80"/>
          <w:highlight w:val="yellow"/>
          <w:lang w:val="en-US"/>
        </w:rPr>
      </w:pPr>
      <w:r w:rsidRPr="009F3831">
        <w:rPr>
          <w:color w:val="7F7F7F" w:themeColor="text1" w:themeTint="80"/>
          <w:highlight w:val="yellow"/>
          <w:lang w:val="en-US"/>
        </w:rPr>
        <w:t>What were the main pitfalls to overcome? e.g. continuing education activities, impact on learning outcomes, inequalities, infrastructure, impact on wellbeing of pupils (psychological, social, … )</w:t>
      </w:r>
    </w:p>
    <w:p w14:paraId="520EABD6" w14:textId="77777777" w:rsidR="004D1D7C" w:rsidRPr="009F3831" w:rsidRDefault="004D1D7C" w:rsidP="000510A8">
      <w:pPr>
        <w:autoSpaceDE w:val="0"/>
        <w:autoSpaceDN w:val="0"/>
        <w:adjustRightInd w:val="0"/>
        <w:spacing w:after="0" w:line="240" w:lineRule="auto"/>
        <w:rPr>
          <w:b/>
          <w:lang w:val="fr-CA"/>
        </w:rPr>
      </w:pPr>
      <w:r w:rsidRPr="009F3831">
        <w:rPr>
          <w:b/>
          <w:lang w:val="fr-CA"/>
        </w:rPr>
        <w:t>Éducation préscolaire et enseignement primaire</w:t>
      </w:r>
    </w:p>
    <w:p w14:paraId="39CAAF36" w14:textId="072073F0" w:rsidR="00CD73AE" w:rsidRPr="009F3831" w:rsidRDefault="0079273A" w:rsidP="00555D70">
      <w:pPr>
        <w:pStyle w:val="Lijstalinea"/>
        <w:numPr>
          <w:ilvl w:val="0"/>
          <w:numId w:val="15"/>
        </w:numPr>
        <w:jc w:val="both"/>
      </w:pPr>
      <w:r w:rsidRPr="009F3831">
        <w:t xml:space="preserve">La </w:t>
      </w:r>
      <w:r w:rsidR="004D1D7C" w:rsidRPr="009F3831">
        <w:t>logistiqu</w:t>
      </w:r>
      <w:r w:rsidR="001E3EF3" w:rsidRPr="009F3831">
        <w:t>e de l’organisation des classes, des différents services éducatifs</w:t>
      </w:r>
      <w:r w:rsidRPr="009F3831">
        <w:t xml:space="preserve"> </w:t>
      </w:r>
      <w:r w:rsidR="001E3EF3" w:rsidRPr="009F3831">
        <w:t xml:space="preserve">et du transport scolaire </w:t>
      </w:r>
      <w:r w:rsidR="00D63DC3" w:rsidRPr="009F3831">
        <w:t>s’</w:t>
      </w:r>
      <w:r w:rsidRPr="009F3831">
        <w:t xml:space="preserve">est </w:t>
      </w:r>
      <w:r w:rsidR="00D63DC3" w:rsidRPr="009F3831">
        <w:t>révélé</w:t>
      </w:r>
      <w:r w:rsidR="00E934E0" w:rsidRPr="009F3831">
        <w:t>e</w:t>
      </w:r>
      <w:r w:rsidR="00D63DC3" w:rsidRPr="009F3831">
        <w:t xml:space="preserve"> </w:t>
      </w:r>
      <w:r w:rsidRPr="009F3831">
        <w:t>co</w:t>
      </w:r>
      <w:r w:rsidR="001E3EF3" w:rsidRPr="009F3831">
        <w:t>mplexe pour les administrateurs</w:t>
      </w:r>
      <w:r w:rsidR="00D472C4" w:rsidRPr="009F3831">
        <w:t xml:space="preserve"> en raison des règles de distanciation physique</w:t>
      </w:r>
      <w:r w:rsidR="001E3EF3" w:rsidRPr="009F3831">
        <w:t>. L</w:t>
      </w:r>
      <w:r w:rsidR="004D1D7C" w:rsidRPr="009F3831">
        <w:t xml:space="preserve">es changements dans les directives gouvernementales </w:t>
      </w:r>
      <w:r w:rsidR="00D63DC3" w:rsidRPr="009F3831">
        <w:t>ont sollicité</w:t>
      </w:r>
      <w:r w:rsidR="004D1D7C" w:rsidRPr="009F3831">
        <w:t xml:space="preserve"> la cap</w:t>
      </w:r>
      <w:r w:rsidR="00CD73AE" w:rsidRPr="009F3831">
        <w:t>acité d’adaptation des milieux.</w:t>
      </w:r>
    </w:p>
    <w:p w14:paraId="5CB80E9B" w14:textId="320F856B" w:rsidR="00AB0356" w:rsidRPr="009F3831" w:rsidRDefault="00A87105" w:rsidP="00555D70">
      <w:pPr>
        <w:pStyle w:val="Lijstalinea"/>
        <w:numPr>
          <w:ilvl w:val="0"/>
          <w:numId w:val="15"/>
        </w:numPr>
        <w:jc w:val="both"/>
      </w:pPr>
      <w:r w:rsidRPr="009F3831">
        <w:t>Gestion et usages du</w:t>
      </w:r>
      <w:r w:rsidR="004D1D7C" w:rsidRPr="009F3831">
        <w:t xml:space="preserve"> matériel </w:t>
      </w:r>
      <w:r w:rsidR="00D472C4" w:rsidRPr="009F3831">
        <w:t>de protection</w:t>
      </w:r>
      <w:r w:rsidRPr="009F3831">
        <w:t xml:space="preserve"> individuel.</w:t>
      </w:r>
    </w:p>
    <w:p w14:paraId="25D835D0" w14:textId="715BFD43" w:rsidR="005B53C1" w:rsidRPr="009F3831" w:rsidRDefault="00A87105" w:rsidP="00555D70">
      <w:pPr>
        <w:pStyle w:val="Lijstalinea"/>
        <w:numPr>
          <w:ilvl w:val="0"/>
          <w:numId w:val="15"/>
        </w:numPr>
        <w:jc w:val="both"/>
      </w:pPr>
      <w:r w:rsidRPr="009F3831">
        <w:t>Augmentation de l</w:t>
      </w:r>
      <w:r w:rsidR="00D63DC3" w:rsidRPr="009F3831">
        <w:t>a charge du</w:t>
      </w:r>
      <w:r w:rsidR="004D1D7C" w:rsidRPr="009F3831">
        <w:t xml:space="preserve"> personnel enseignant </w:t>
      </w:r>
      <w:r w:rsidR="00D472C4" w:rsidRPr="009F3831">
        <w:t>(préparation des cours en classe et à distance)</w:t>
      </w:r>
      <w:r w:rsidR="004E7443" w:rsidRPr="009F3831">
        <w:t xml:space="preserve">. </w:t>
      </w:r>
      <w:r w:rsidRPr="009F3831">
        <w:t>C</w:t>
      </w:r>
      <w:r w:rsidR="004E7443" w:rsidRPr="009F3831">
        <w:t xml:space="preserve">ommunication avec les parents dans un contexte anxiogène </w:t>
      </w:r>
      <w:r w:rsidR="004D1D7C" w:rsidRPr="009F3831">
        <w:t>notam</w:t>
      </w:r>
      <w:r w:rsidR="004E7443" w:rsidRPr="009F3831">
        <w:t xml:space="preserve">ment pour les élèves handicapés, les familles vulnérables, les élèves </w:t>
      </w:r>
      <w:r w:rsidRPr="009F3831">
        <w:t xml:space="preserve">handicapés ou </w:t>
      </w:r>
      <w:r w:rsidR="004D1D7C" w:rsidRPr="009F3831">
        <w:t>éprouvant des difficultés d</w:t>
      </w:r>
      <w:r w:rsidR="00AB0356" w:rsidRPr="009F3831">
        <w:t>’apprentissage ou d’adaptation</w:t>
      </w:r>
      <w:r w:rsidR="004D1D7C" w:rsidRPr="009F3831">
        <w:t xml:space="preserve"> </w:t>
      </w:r>
      <w:r w:rsidR="00E74B20" w:rsidRPr="009F3831">
        <w:t>(dont la majorité n</w:t>
      </w:r>
      <w:r w:rsidR="00E934E0" w:rsidRPr="009F3831">
        <w:t>’es</w:t>
      </w:r>
      <w:r w:rsidR="00E74B20" w:rsidRPr="009F3831">
        <w:t>t pas retourné</w:t>
      </w:r>
      <w:r w:rsidR="00E934E0" w:rsidRPr="009F3831">
        <w:t>e</w:t>
      </w:r>
      <w:r w:rsidR="00E74B20" w:rsidRPr="009F3831">
        <w:t xml:space="preserve"> en classe)</w:t>
      </w:r>
      <w:r w:rsidR="004D1D7C" w:rsidRPr="009F3831">
        <w:t>.</w:t>
      </w:r>
      <w:r w:rsidR="004E7443" w:rsidRPr="009F3831">
        <w:t xml:space="preserve"> </w:t>
      </w:r>
    </w:p>
    <w:p w14:paraId="29BC3556" w14:textId="50A8C6D6" w:rsidR="00787431" w:rsidRPr="009F3831" w:rsidRDefault="00A87105" w:rsidP="00555D70">
      <w:pPr>
        <w:pStyle w:val="Lijstalinea"/>
        <w:numPr>
          <w:ilvl w:val="0"/>
          <w:numId w:val="15"/>
        </w:numPr>
        <w:jc w:val="both"/>
      </w:pPr>
      <w:r w:rsidRPr="009F3831">
        <w:t>G</w:t>
      </w:r>
      <w:r w:rsidR="00CD73AE" w:rsidRPr="009F3831">
        <w:t>estion de classe à distance, suivi des élèves, manque de ressources d’aide et de soutien p</w:t>
      </w:r>
      <w:r w:rsidRPr="009F3831">
        <w:t>rofes</w:t>
      </w:r>
      <w:r w:rsidR="00E934E0" w:rsidRPr="009F3831">
        <w:t>sionnel</w:t>
      </w:r>
      <w:r w:rsidRPr="009F3831">
        <w:t>.</w:t>
      </w:r>
    </w:p>
    <w:p w14:paraId="2FC5F352" w14:textId="1B5BCD79" w:rsidR="00AB0356" w:rsidRPr="009F3831" w:rsidRDefault="003F13B8" w:rsidP="00555D70">
      <w:pPr>
        <w:pStyle w:val="Lijstalinea"/>
        <w:numPr>
          <w:ilvl w:val="0"/>
          <w:numId w:val="15"/>
        </w:numPr>
        <w:jc w:val="both"/>
      </w:pPr>
      <w:r w:rsidRPr="009F3831">
        <w:t>Le contexte à mis en exergue l</w:t>
      </w:r>
      <w:r w:rsidR="00D472C4" w:rsidRPr="009F3831">
        <w:t>es inégalités d’accès au numérique</w:t>
      </w:r>
      <w:r w:rsidRPr="009F3831">
        <w:t xml:space="preserve"> (régionales, intrafamiliale, entre les établiss</w:t>
      </w:r>
      <w:r w:rsidR="00E934E0" w:rsidRPr="009F3831">
        <w:t>e</w:t>
      </w:r>
      <w:r w:rsidRPr="009F3831">
        <w:t>ments, secteur public vs privé, groupes vulnérables et marginalisés, etc.)</w:t>
      </w:r>
      <w:r w:rsidR="00787431" w:rsidRPr="009F3831">
        <w:t xml:space="preserve">, </w:t>
      </w:r>
      <w:r w:rsidRPr="009F3831">
        <w:t xml:space="preserve">les lacunes </w:t>
      </w:r>
      <w:r w:rsidR="00E74B20" w:rsidRPr="009F3831">
        <w:t>du personnel éducatif, des administrateurs scolaires, des parents et des élèves</w:t>
      </w:r>
      <w:r w:rsidRPr="009F3831">
        <w:t xml:space="preserve"> quant aux compétences numériques à maitriser</w:t>
      </w:r>
      <w:r w:rsidR="004D1D7C" w:rsidRPr="009F3831">
        <w:t>.</w:t>
      </w:r>
      <w:r w:rsidR="00D472C4" w:rsidRPr="009F3831">
        <w:t xml:space="preserve"> </w:t>
      </w:r>
      <w:r w:rsidR="004D1D7C" w:rsidRPr="009F3831">
        <w:t xml:space="preserve">Le prêt des outils technologiques pour les élèves </w:t>
      </w:r>
      <w:r w:rsidR="002B5D38" w:rsidRPr="009F3831">
        <w:t xml:space="preserve">en formation à distance </w:t>
      </w:r>
      <w:r w:rsidR="00D472C4" w:rsidRPr="009F3831">
        <w:t>s’est révélé insuffisant</w:t>
      </w:r>
      <w:r w:rsidR="002B5D38" w:rsidRPr="009F3831">
        <w:t xml:space="preserve"> dans les premières semaines.</w:t>
      </w:r>
    </w:p>
    <w:p w14:paraId="07582427" w14:textId="1DD0F546" w:rsidR="00CD73AE" w:rsidRPr="009F3831" w:rsidRDefault="00654AB4" w:rsidP="00555D70">
      <w:pPr>
        <w:pStyle w:val="Lijstalinea"/>
        <w:numPr>
          <w:ilvl w:val="0"/>
          <w:numId w:val="15"/>
        </w:numPr>
        <w:jc w:val="both"/>
      </w:pPr>
      <w:r w:rsidRPr="009F3831">
        <w:t>E</w:t>
      </w:r>
      <w:r w:rsidR="00787431" w:rsidRPr="009F3831">
        <w:t xml:space="preserve">njeux liés à la santé mentale (anxiété, stress, épuisement professionnel) se sont posés </w:t>
      </w:r>
      <w:r w:rsidR="00CD73AE" w:rsidRPr="009F3831">
        <w:t>autant chez</w:t>
      </w:r>
      <w:r w:rsidR="00787431" w:rsidRPr="009F3831">
        <w:t xml:space="preserve"> les acteurs des milieux éducati</w:t>
      </w:r>
      <w:r w:rsidR="00CD73AE" w:rsidRPr="009F3831">
        <w:t>f</w:t>
      </w:r>
      <w:r w:rsidR="00787431" w:rsidRPr="009F3831">
        <w:t>s</w:t>
      </w:r>
      <w:r w:rsidR="00CD73AE" w:rsidRPr="009F3831">
        <w:t xml:space="preserve"> que chez les apprenants et les parents.</w:t>
      </w:r>
    </w:p>
    <w:p w14:paraId="1BDF2F24" w14:textId="4B8820AC" w:rsidR="00E84031" w:rsidRPr="009F3831" w:rsidRDefault="00A87105" w:rsidP="00555D70">
      <w:pPr>
        <w:pStyle w:val="Lijstalinea"/>
        <w:numPr>
          <w:ilvl w:val="0"/>
          <w:numId w:val="15"/>
        </w:numPr>
        <w:jc w:val="both"/>
      </w:pPr>
      <w:r w:rsidRPr="009F3831">
        <w:t>Enjeux liés à l</w:t>
      </w:r>
      <w:r w:rsidR="004D1D7C" w:rsidRPr="009F3831">
        <w:t xml:space="preserve">’évaluation et </w:t>
      </w:r>
      <w:r w:rsidR="00654AB4" w:rsidRPr="009F3831">
        <w:t>au</w:t>
      </w:r>
      <w:r w:rsidR="004D1D7C" w:rsidRPr="009F3831">
        <w:t xml:space="preserve"> classement des élèves</w:t>
      </w:r>
      <w:r w:rsidR="00E84031" w:rsidRPr="009F3831">
        <w:t xml:space="preserve">. </w:t>
      </w:r>
    </w:p>
    <w:p w14:paraId="3B3F08BF" w14:textId="77777777" w:rsidR="004D1D7C" w:rsidRPr="009F3831" w:rsidRDefault="004D1D7C" w:rsidP="000510A8">
      <w:pPr>
        <w:autoSpaceDE w:val="0"/>
        <w:autoSpaceDN w:val="0"/>
        <w:adjustRightInd w:val="0"/>
        <w:spacing w:after="0" w:line="240" w:lineRule="auto"/>
        <w:rPr>
          <w:b/>
          <w:lang w:val="fr-CA"/>
        </w:rPr>
      </w:pPr>
      <w:r w:rsidRPr="009F3831">
        <w:rPr>
          <w:b/>
          <w:lang w:val="fr-CA"/>
        </w:rPr>
        <w:t>Enseignement secondaire</w:t>
      </w:r>
    </w:p>
    <w:p w14:paraId="328BD6AF" w14:textId="7C87B3BA" w:rsidR="00461218" w:rsidRPr="009F3831" w:rsidRDefault="00654AB4" w:rsidP="00555D70">
      <w:pPr>
        <w:pStyle w:val="Lijstalinea"/>
        <w:numPr>
          <w:ilvl w:val="0"/>
          <w:numId w:val="17"/>
        </w:numPr>
        <w:jc w:val="both"/>
      </w:pPr>
      <w:r w:rsidRPr="009F3831">
        <w:t>S</w:t>
      </w:r>
      <w:r w:rsidR="004D1D7C" w:rsidRPr="009F3831">
        <w:t>anction des études</w:t>
      </w:r>
      <w:r w:rsidR="00D4581E" w:rsidRPr="009F3831">
        <w:t>.</w:t>
      </w:r>
      <w:r w:rsidR="00461218" w:rsidRPr="009F3831">
        <w:t xml:space="preserve"> Les modalités d’évaluation temporaires n’ont pas incité les élèves à poursuivre leurs apprentissages. </w:t>
      </w:r>
    </w:p>
    <w:p w14:paraId="596A59B7" w14:textId="2AA03D4E" w:rsidR="00D4581E" w:rsidRPr="009F3831" w:rsidRDefault="00654AB4" w:rsidP="00555D70">
      <w:pPr>
        <w:pStyle w:val="Lijstalinea"/>
        <w:numPr>
          <w:ilvl w:val="0"/>
          <w:numId w:val="16"/>
        </w:numPr>
        <w:jc w:val="both"/>
      </w:pPr>
      <w:r w:rsidRPr="009F3831">
        <w:t xml:space="preserve">Interactions et suivis individuels difficiles </w:t>
      </w:r>
      <w:r w:rsidR="004D1D7C" w:rsidRPr="009F3831">
        <w:t>entre les enseignants et les élèves</w:t>
      </w:r>
      <w:r w:rsidRPr="009F3831">
        <w:t>.</w:t>
      </w:r>
    </w:p>
    <w:p w14:paraId="0A0DF0A2" w14:textId="6AB35D2F" w:rsidR="00D4581E" w:rsidRPr="009F3831" w:rsidRDefault="00BC563F" w:rsidP="00555D70">
      <w:pPr>
        <w:pStyle w:val="Lijstalinea"/>
        <w:numPr>
          <w:ilvl w:val="0"/>
          <w:numId w:val="16"/>
        </w:numPr>
        <w:jc w:val="both"/>
      </w:pPr>
      <w:r w:rsidRPr="009F3831">
        <w:t>D</w:t>
      </w:r>
      <w:r w:rsidR="004D1D7C" w:rsidRPr="009F3831">
        <w:t xml:space="preserve">éveloppement professionnel du personnel </w:t>
      </w:r>
      <w:r w:rsidR="00654AB4" w:rsidRPr="009F3831">
        <w:t>pour la formation à distance</w:t>
      </w:r>
      <w:r w:rsidR="004D1D7C" w:rsidRPr="009F3831">
        <w:t>.</w:t>
      </w:r>
    </w:p>
    <w:p w14:paraId="75FD9FCB" w14:textId="7ABBB88F" w:rsidR="00D4581E" w:rsidRPr="009F3831" w:rsidRDefault="009E19F4" w:rsidP="00555D70">
      <w:pPr>
        <w:pStyle w:val="Lijstalinea"/>
        <w:numPr>
          <w:ilvl w:val="0"/>
          <w:numId w:val="16"/>
        </w:numPr>
        <w:jc w:val="both"/>
      </w:pPr>
      <w:r w:rsidRPr="009F3831">
        <w:t>P</w:t>
      </w:r>
      <w:r w:rsidR="00D4581E" w:rsidRPr="009F3831">
        <w:t xml:space="preserve">lanification </w:t>
      </w:r>
      <w:r w:rsidRPr="009F3831">
        <w:t xml:space="preserve">de la rentrée scolaire en fonction des règles de santé publique </w:t>
      </w:r>
      <w:r w:rsidR="004764CE" w:rsidRPr="009F3831">
        <w:t>et les car</w:t>
      </w:r>
      <w:r w:rsidR="00E934E0" w:rsidRPr="009F3831">
        <w:t>a</w:t>
      </w:r>
      <w:r w:rsidR="004764CE" w:rsidRPr="009F3831">
        <w:t>ctéristi</w:t>
      </w:r>
      <w:r w:rsidRPr="009F3831">
        <w:t>q</w:t>
      </w:r>
      <w:r w:rsidR="004764CE" w:rsidRPr="009F3831">
        <w:t>ue</w:t>
      </w:r>
      <w:r w:rsidRPr="009F3831">
        <w:t>s physiques des b</w:t>
      </w:r>
      <w:r w:rsidR="00E934E0" w:rsidRPr="009F3831">
        <w:t>â</w:t>
      </w:r>
      <w:r w:rsidRPr="009F3831">
        <w:t xml:space="preserve">timents. </w:t>
      </w:r>
    </w:p>
    <w:p w14:paraId="0262A0C4" w14:textId="0C3B4A75" w:rsidR="00060965" w:rsidRPr="009F3831" w:rsidRDefault="004764CE" w:rsidP="00555D70">
      <w:pPr>
        <w:pStyle w:val="Lijstalinea"/>
        <w:numPr>
          <w:ilvl w:val="0"/>
          <w:numId w:val="16"/>
        </w:numPr>
        <w:jc w:val="both"/>
      </w:pPr>
      <w:r w:rsidRPr="009F3831">
        <w:lastRenderedPageBreak/>
        <w:t xml:space="preserve">Gestion de l’information, des nombreuses </w:t>
      </w:r>
      <w:r w:rsidR="000D7518" w:rsidRPr="009F3831">
        <w:t xml:space="preserve">directives, de leur évolution, de leur interprétation, </w:t>
      </w:r>
      <w:r w:rsidRPr="009F3831">
        <w:t xml:space="preserve">et de leur transmission aux différents acteurs. </w:t>
      </w:r>
    </w:p>
    <w:p w14:paraId="1FEA3483" w14:textId="2D7B2E5F" w:rsidR="00060965" w:rsidRPr="009F3831" w:rsidRDefault="004764CE" w:rsidP="00555D70">
      <w:pPr>
        <w:pStyle w:val="Lijstalinea"/>
        <w:numPr>
          <w:ilvl w:val="0"/>
          <w:numId w:val="16"/>
        </w:numPr>
        <w:jc w:val="both"/>
      </w:pPr>
      <w:r w:rsidRPr="009F3831">
        <w:t>G</w:t>
      </w:r>
      <w:r w:rsidR="004D1D7C" w:rsidRPr="009F3831">
        <w:t>estion de classe e</w:t>
      </w:r>
      <w:r w:rsidRPr="009F3831">
        <w:t>t</w:t>
      </w:r>
      <w:r w:rsidR="00060965" w:rsidRPr="009F3831">
        <w:t xml:space="preserve"> sensibilisation</w:t>
      </w:r>
      <w:r w:rsidR="005B53C1" w:rsidRPr="009F3831">
        <w:t xml:space="preserve"> d</w:t>
      </w:r>
      <w:r w:rsidR="004D1D7C" w:rsidRPr="009F3831">
        <w:t>e</w:t>
      </w:r>
      <w:r w:rsidR="00060965" w:rsidRPr="009F3831">
        <w:t xml:space="preserve">s élèves aux enjeux éthiques des </w:t>
      </w:r>
      <w:r w:rsidR="004D1D7C" w:rsidRPr="009F3831">
        <w:t>comportements</w:t>
      </w:r>
      <w:r w:rsidR="00060965" w:rsidRPr="009F3831">
        <w:t xml:space="preserve"> en ligne. </w:t>
      </w:r>
    </w:p>
    <w:p w14:paraId="31868DB6" w14:textId="062D8FF2" w:rsidR="00060965" w:rsidRPr="009F3831" w:rsidRDefault="004764CE" w:rsidP="00555D70">
      <w:pPr>
        <w:pStyle w:val="Lijstalinea"/>
        <w:numPr>
          <w:ilvl w:val="0"/>
          <w:numId w:val="16"/>
        </w:numPr>
        <w:jc w:val="both"/>
      </w:pPr>
      <w:r w:rsidRPr="009F3831">
        <w:t>E</w:t>
      </w:r>
      <w:r w:rsidR="00060965" w:rsidRPr="009F3831">
        <w:t>njeu des transitions entre les ordres d’enseignement.</w:t>
      </w:r>
    </w:p>
    <w:p w14:paraId="4705F95C" w14:textId="3E97B59C" w:rsidR="004D1D7C" w:rsidRPr="009F3831" w:rsidRDefault="004764CE" w:rsidP="00555D70">
      <w:pPr>
        <w:pStyle w:val="Lijstalinea"/>
        <w:numPr>
          <w:ilvl w:val="0"/>
          <w:numId w:val="16"/>
        </w:numPr>
        <w:jc w:val="both"/>
      </w:pPr>
      <w:r w:rsidRPr="009F3831">
        <w:t>Aspects pédagogiques et priorisation d</w:t>
      </w:r>
      <w:r w:rsidR="004D1D7C" w:rsidRPr="009F3831">
        <w:t xml:space="preserve">es savoirs essentiels à enseigner. </w:t>
      </w:r>
    </w:p>
    <w:p w14:paraId="477EBB44" w14:textId="79AC48A9" w:rsidR="008B3E14" w:rsidRPr="009F3831" w:rsidRDefault="004764CE" w:rsidP="00555D70">
      <w:pPr>
        <w:pStyle w:val="Lijstalinea"/>
        <w:numPr>
          <w:ilvl w:val="0"/>
          <w:numId w:val="17"/>
        </w:numPr>
        <w:jc w:val="both"/>
      </w:pPr>
      <w:r w:rsidRPr="009F3831">
        <w:t>Soutiens d</w:t>
      </w:r>
      <w:r w:rsidR="004D1D7C" w:rsidRPr="009F3831">
        <w:t xml:space="preserve">es parents d’enfants </w:t>
      </w:r>
      <w:r w:rsidR="00060965" w:rsidRPr="009F3831">
        <w:t>vulnérables</w:t>
      </w:r>
      <w:r w:rsidR="004D1D7C" w:rsidRPr="009F3831">
        <w:t xml:space="preserve"> </w:t>
      </w:r>
      <w:r w:rsidRPr="009F3831">
        <w:t xml:space="preserve">et insuffisance de l’offre de services </w:t>
      </w:r>
      <w:r w:rsidR="00060965" w:rsidRPr="009F3831">
        <w:t xml:space="preserve">en raison des </w:t>
      </w:r>
      <w:r w:rsidR="004D1D7C" w:rsidRPr="009F3831">
        <w:t xml:space="preserve">contraintes. </w:t>
      </w:r>
    </w:p>
    <w:p w14:paraId="616C6E2F" w14:textId="5F116259" w:rsidR="00461218" w:rsidRPr="009F3831" w:rsidRDefault="00461218" w:rsidP="00555D70">
      <w:pPr>
        <w:pStyle w:val="Lijstalinea"/>
        <w:numPr>
          <w:ilvl w:val="0"/>
          <w:numId w:val="17"/>
        </w:numPr>
        <w:jc w:val="both"/>
      </w:pPr>
      <w:r w:rsidRPr="009F3831">
        <w:t>Compétences numériques inégales chez les enseignants</w:t>
      </w:r>
      <w:r w:rsidR="00BC563F" w:rsidRPr="009F3831">
        <w:t xml:space="preserve"> et engagement variable de ces derniers</w:t>
      </w:r>
      <w:r w:rsidR="005B53C1" w:rsidRPr="009F3831">
        <w:t xml:space="preserve"> par rapport aux suivis à distance</w:t>
      </w:r>
      <w:r w:rsidRPr="009F3831">
        <w:t>.</w:t>
      </w:r>
    </w:p>
    <w:p w14:paraId="591057CF" w14:textId="057F1496" w:rsidR="00461218" w:rsidRPr="009F3831" w:rsidRDefault="00461218" w:rsidP="00555D70">
      <w:pPr>
        <w:pStyle w:val="Lijstalinea"/>
        <w:numPr>
          <w:ilvl w:val="0"/>
          <w:numId w:val="17"/>
        </w:numPr>
        <w:jc w:val="both"/>
      </w:pPr>
      <w:r w:rsidRPr="009F3831">
        <w:t>Augmentation de la charge de travail des différents acteurs scolaires et disponib</w:t>
      </w:r>
      <w:r w:rsidR="00E934E0" w:rsidRPr="009F3831">
        <w:t>i</w:t>
      </w:r>
      <w:r w:rsidRPr="009F3831">
        <w:t>lité moindr</w:t>
      </w:r>
      <w:r w:rsidR="00E934E0" w:rsidRPr="009F3831">
        <w:t>e des différents professionnel</w:t>
      </w:r>
      <w:r w:rsidRPr="009F3831">
        <w:t xml:space="preserve">s en soutien aux enseignants. </w:t>
      </w:r>
    </w:p>
    <w:p w14:paraId="05BC3826" w14:textId="77ADAC6E" w:rsidR="004D1D7C" w:rsidRPr="009F3831" w:rsidRDefault="00461218" w:rsidP="00555D70">
      <w:pPr>
        <w:pStyle w:val="Lijstalinea"/>
        <w:numPr>
          <w:ilvl w:val="0"/>
          <w:numId w:val="17"/>
        </w:numPr>
        <w:jc w:val="both"/>
      </w:pPr>
      <w:r w:rsidRPr="009F3831">
        <w:t>Prise en compte de</w:t>
      </w:r>
      <w:r w:rsidR="004D1D7C" w:rsidRPr="009F3831">
        <w:t xml:space="preserve">s besoins des adolescents </w:t>
      </w:r>
      <w:r w:rsidRPr="009F3831">
        <w:t>dans un contexte d’urgence.</w:t>
      </w:r>
    </w:p>
    <w:p w14:paraId="5CBCE581" w14:textId="5487288C" w:rsidR="0084205E" w:rsidRPr="009F3831" w:rsidRDefault="0084205E" w:rsidP="00555D70">
      <w:pPr>
        <w:pStyle w:val="Lijstalinea"/>
        <w:numPr>
          <w:ilvl w:val="0"/>
          <w:numId w:val="17"/>
        </w:numPr>
        <w:jc w:val="both"/>
      </w:pPr>
      <w:r w:rsidRPr="009F3831">
        <w:t>Pressions et craintes chez les parents</w:t>
      </w:r>
      <w:r w:rsidR="00BC563F" w:rsidRPr="009F3831">
        <w:t>.</w:t>
      </w:r>
      <w:r w:rsidRPr="009F3831">
        <w:t xml:space="preserve"> </w:t>
      </w:r>
    </w:p>
    <w:p w14:paraId="7C743FCF" w14:textId="2B4A906B" w:rsidR="00981CDB" w:rsidRPr="009F3831" w:rsidRDefault="0084205E" w:rsidP="00555D70">
      <w:pPr>
        <w:pStyle w:val="Lijstalinea"/>
        <w:numPr>
          <w:ilvl w:val="0"/>
          <w:numId w:val="17"/>
        </w:numPr>
        <w:jc w:val="both"/>
      </w:pPr>
      <w:r w:rsidRPr="009F3831">
        <w:t>Absence des élèves provenant d</w:t>
      </w:r>
      <w:r w:rsidR="004D1D7C" w:rsidRPr="009F3831">
        <w:t>es milieux défavorisés</w:t>
      </w:r>
      <w:r w:rsidR="005B53C1" w:rsidRPr="009F3831">
        <w:t xml:space="preserve"> (</w:t>
      </w:r>
      <w:r w:rsidR="004D1D7C" w:rsidRPr="009F3831">
        <w:t xml:space="preserve">moins de </w:t>
      </w:r>
      <w:r w:rsidR="005B53C1" w:rsidRPr="009F3831">
        <w:t>la moitié</w:t>
      </w:r>
      <w:r w:rsidR="004D1D7C" w:rsidRPr="009F3831">
        <w:t xml:space="preserve"> des familles </w:t>
      </w:r>
      <w:r w:rsidR="00D66D9A" w:rsidRPr="009F3831">
        <w:t>ont retourné</w:t>
      </w:r>
      <w:r w:rsidR="004D1D7C" w:rsidRPr="009F3831">
        <w:t xml:space="preserve"> </w:t>
      </w:r>
      <w:r w:rsidR="00D66D9A" w:rsidRPr="009F3831">
        <w:t>leurs</w:t>
      </w:r>
      <w:r w:rsidR="004D1D7C" w:rsidRPr="009F3831">
        <w:t xml:space="preserve"> enfants à l’école</w:t>
      </w:r>
      <w:r w:rsidR="007C5A48" w:rsidRPr="009F3831">
        <w:t xml:space="preserve"> durant les mois de mai et juin</w:t>
      </w:r>
      <w:r w:rsidR="005B53C1" w:rsidRPr="009F3831">
        <w:t>) et des élèves en difficulté</w:t>
      </w:r>
      <w:r w:rsidR="004D1D7C" w:rsidRPr="009F3831">
        <w:t xml:space="preserve">. </w:t>
      </w:r>
    </w:p>
    <w:p w14:paraId="69B39565" w14:textId="7AD43ADF" w:rsidR="00BC563F" w:rsidRPr="009F3831" w:rsidRDefault="00981CDB" w:rsidP="00555D70">
      <w:pPr>
        <w:pStyle w:val="Lijstalinea"/>
        <w:numPr>
          <w:ilvl w:val="0"/>
          <w:numId w:val="17"/>
        </w:numPr>
        <w:jc w:val="both"/>
      </w:pPr>
      <w:r w:rsidRPr="009F3831">
        <w:t>M</w:t>
      </w:r>
      <w:r w:rsidR="004D1D7C" w:rsidRPr="009F3831">
        <w:t xml:space="preserve">anque d’uniformité entre </w:t>
      </w:r>
      <w:r w:rsidR="00D66D9A" w:rsidRPr="009F3831">
        <w:t>les écoles quant aux services offert</w:t>
      </w:r>
      <w:r w:rsidR="00E934E0" w:rsidRPr="009F3831">
        <w:t>s</w:t>
      </w:r>
      <w:r w:rsidR="00D66D9A" w:rsidRPr="009F3831">
        <w:t xml:space="preserve"> </w:t>
      </w:r>
      <w:r w:rsidR="004D1D7C" w:rsidRPr="009F3831">
        <w:t xml:space="preserve">aux </w:t>
      </w:r>
      <w:r w:rsidRPr="009F3831">
        <w:t>élèves (iniquités)</w:t>
      </w:r>
      <w:r w:rsidR="004D1D7C" w:rsidRPr="009F3831">
        <w:t>.</w:t>
      </w:r>
    </w:p>
    <w:p w14:paraId="04824B82" w14:textId="3562E921" w:rsidR="004D1D7C" w:rsidRPr="009F3831" w:rsidRDefault="004D1D7C" w:rsidP="000510A8">
      <w:pPr>
        <w:autoSpaceDE w:val="0"/>
        <w:autoSpaceDN w:val="0"/>
        <w:adjustRightInd w:val="0"/>
        <w:spacing w:after="0" w:line="240" w:lineRule="auto"/>
        <w:rPr>
          <w:b/>
          <w:lang w:val="fr-CA"/>
        </w:rPr>
      </w:pPr>
      <w:r w:rsidRPr="009F3831">
        <w:rPr>
          <w:b/>
          <w:lang w:val="fr-CA"/>
        </w:rPr>
        <w:t xml:space="preserve">Enseignement </w:t>
      </w:r>
      <w:r w:rsidR="00E8302F" w:rsidRPr="009F3831">
        <w:rPr>
          <w:b/>
          <w:lang w:val="fr-CA"/>
        </w:rPr>
        <w:t>supérieur</w:t>
      </w:r>
    </w:p>
    <w:p w14:paraId="1FCCCAC6" w14:textId="34581324" w:rsidR="004D1D7C" w:rsidRPr="009F3831" w:rsidRDefault="001442B3" w:rsidP="001442B3">
      <w:pPr>
        <w:pStyle w:val="Lijstalinea"/>
        <w:numPr>
          <w:ilvl w:val="0"/>
          <w:numId w:val="18"/>
        </w:numPr>
      </w:pPr>
      <w:r w:rsidRPr="009F3831">
        <w:t>Transition entre les ordres d’enseignement.</w:t>
      </w:r>
    </w:p>
    <w:p w14:paraId="3A79C17D" w14:textId="5433D747" w:rsidR="005B53C1" w:rsidRPr="009F3831" w:rsidRDefault="001442B3" w:rsidP="001442B3">
      <w:pPr>
        <w:pStyle w:val="Lijstalinea"/>
        <w:numPr>
          <w:ilvl w:val="0"/>
          <w:numId w:val="18"/>
        </w:numPr>
      </w:pPr>
      <w:r w:rsidRPr="009F3831">
        <w:t>Compétences numériques des enseignants</w:t>
      </w:r>
      <w:r w:rsidR="00C26494" w:rsidRPr="009F3831">
        <w:t xml:space="preserve"> et des étudiants</w:t>
      </w:r>
      <w:r w:rsidR="009D5623" w:rsidRPr="009F3831">
        <w:t xml:space="preserve"> </w:t>
      </w:r>
      <w:r w:rsidR="005B53C1" w:rsidRPr="009F3831">
        <w:t>inégales</w:t>
      </w:r>
      <w:r w:rsidR="00162734" w:rsidRPr="009F3831">
        <w:t>.</w:t>
      </w:r>
    </w:p>
    <w:p w14:paraId="462A71F7" w14:textId="230E9EAF" w:rsidR="001442B3" w:rsidRPr="009F3831" w:rsidRDefault="005B53C1" w:rsidP="001442B3">
      <w:pPr>
        <w:pStyle w:val="Lijstalinea"/>
        <w:numPr>
          <w:ilvl w:val="0"/>
          <w:numId w:val="18"/>
        </w:numPr>
      </w:pPr>
      <w:r w:rsidRPr="009F3831">
        <w:t>Q</w:t>
      </w:r>
      <w:r w:rsidR="009D5623" w:rsidRPr="009F3831">
        <w:t>ualité de l’enseignement à distance</w:t>
      </w:r>
      <w:r w:rsidR="001442B3" w:rsidRPr="009F3831">
        <w:t xml:space="preserve">. </w:t>
      </w:r>
    </w:p>
    <w:p w14:paraId="4ED80441" w14:textId="105DA8C9" w:rsidR="001442B3" w:rsidRPr="009F3831" w:rsidRDefault="001442B3" w:rsidP="00A320BC">
      <w:pPr>
        <w:pStyle w:val="Lijstalinea"/>
        <w:numPr>
          <w:ilvl w:val="0"/>
          <w:numId w:val="18"/>
        </w:numPr>
      </w:pPr>
      <w:r w:rsidRPr="009F3831">
        <w:t>Poursuite des a</w:t>
      </w:r>
      <w:r w:rsidR="004D1D7C" w:rsidRPr="009F3831">
        <w:t xml:space="preserve">pprentissages techniques </w:t>
      </w:r>
      <w:r w:rsidRPr="009F3831">
        <w:t>en laboratoire</w:t>
      </w:r>
      <w:r w:rsidR="004D1D7C" w:rsidRPr="009F3831">
        <w:t xml:space="preserve"> et </w:t>
      </w:r>
      <w:r w:rsidR="00E8302F" w:rsidRPr="009F3831">
        <w:t>en</w:t>
      </w:r>
      <w:r w:rsidR="004D1D7C" w:rsidRPr="009F3831">
        <w:t xml:space="preserve"> stage</w:t>
      </w:r>
      <w:r w:rsidRPr="009F3831">
        <w:t>.</w:t>
      </w:r>
    </w:p>
    <w:p w14:paraId="251B11E7" w14:textId="4D16D523" w:rsidR="001442B3" w:rsidRPr="009F3831" w:rsidRDefault="00162734" w:rsidP="00A320BC">
      <w:pPr>
        <w:pStyle w:val="Lijstalinea"/>
        <w:numPr>
          <w:ilvl w:val="0"/>
          <w:numId w:val="18"/>
        </w:numPr>
      </w:pPr>
      <w:r w:rsidRPr="009F3831">
        <w:t>Absence de s</w:t>
      </w:r>
      <w:r w:rsidR="004D1D7C" w:rsidRPr="009F3831">
        <w:t>tandardis</w:t>
      </w:r>
      <w:r w:rsidR="00E8302F" w:rsidRPr="009F3831">
        <w:t>ation des outils utilisés</w:t>
      </w:r>
      <w:r w:rsidR="001442B3" w:rsidRPr="009F3831">
        <w:t xml:space="preserve"> pour la formation à distance.</w:t>
      </w:r>
    </w:p>
    <w:p w14:paraId="55B165A7" w14:textId="77777777" w:rsidR="001442B3" w:rsidRPr="009F3831" w:rsidRDefault="001442B3" w:rsidP="00A320BC">
      <w:pPr>
        <w:pStyle w:val="Lijstalinea"/>
        <w:numPr>
          <w:ilvl w:val="0"/>
          <w:numId w:val="18"/>
        </w:numPr>
      </w:pPr>
      <w:r w:rsidRPr="009F3831">
        <w:t xml:space="preserve">Enjeux du plagiat et de la tricherie en contexte d’enseignement </w:t>
      </w:r>
      <w:r w:rsidR="0034115F" w:rsidRPr="009F3831">
        <w:t>à distance</w:t>
      </w:r>
      <w:r w:rsidR="00E8302F" w:rsidRPr="009F3831">
        <w:t>.</w:t>
      </w:r>
    </w:p>
    <w:p w14:paraId="7CC83C0A" w14:textId="11AF24D2" w:rsidR="001442B3" w:rsidRPr="009F3831" w:rsidRDefault="001442B3" w:rsidP="00A320BC">
      <w:pPr>
        <w:pStyle w:val="Lijstalinea"/>
        <w:numPr>
          <w:ilvl w:val="0"/>
          <w:numId w:val="18"/>
        </w:numPr>
      </w:pPr>
      <w:r w:rsidRPr="009F3831">
        <w:t xml:space="preserve">Fracture numérique géographique notamment </w:t>
      </w:r>
      <w:r w:rsidR="008852EF" w:rsidRPr="009F3831">
        <w:t xml:space="preserve">chez les étudiants </w:t>
      </w:r>
      <w:r w:rsidRPr="009F3831">
        <w:t xml:space="preserve">des </w:t>
      </w:r>
      <w:r w:rsidR="007C5A48" w:rsidRPr="009F3831">
        <w:t>P</w:t>
      </w:r>
      <w:r w:rsidRPr="009F3831">
        <w:t xml:space="preserve">remières </w:t>
      </w:r>
      <w:r w:rsidR="007C5A48" w:rsidRPr="009F3831">
        <w:t>N</w:t>
      </w:r>
      <w:r w:rsidRPr="009F3831">
        <w:t xml:space="preserve">ations et </w:t>
      </w:r>
      <w:r w:rsidR="00E934E0" w:rsidRPr="009F3831">
        <w:t>I</w:t>
      </w:r>
      <w:r w:rsidRPr="009F3831">
        <w:t>nuits.</w:t>
      </w:r>
    </w:p>
    <w:p w14:paraId="4A006350" w14:textId="77777777" w:rsidR="008852EF" w:rsidRPr="009F3831" w:rsidRDefault="008852EF" w:rsidP="00A320BC">
      <w:pPr>
        <w:pStyle w:val="Lijstalinea"/>
        <w:numPr>
          <w:ilvl w:val="0"/>
          <w:numId w:val="18"/>
        </w:numPr>
      </w:pPr>
      <w:r w:rsidRPr="009F3831">
        <w:t>A</w:t>
      </w:r>
      <w:r w:rsidR="004D1D7C" w:rsidRPr="009F3831">
        <w:t>ccès aux cours à distance pour certains étudiants vivant avec un handicap.</w:t>
      </w:r>
    </w:p>
    <w:p w14:paraId="1BFF1C6E" w14:textId="46EC6A9B" w:rsidR="008852EF" w:rsidRPr="009F3831" w:rsidRDefault="008852EF" w:rsidP="00A320BC">
      <w:pPr>
        <w:pStyle w:val="Lijstalinea"/>
        <w:numPr>
          <w:ilvl w:val="0"/>
          <w:numId w:val="18"/>
        </w:numPr>
      </w:pPr>
      <w:r w:rsidRPr="009F3831">
        <w:t xml:space="preserve">Augmentation de la charge de travail </w:t>
      </w:r>
      <w:r w:rsidR="00162734" w:rsidRPr="009F3831">
        <w:t xml:space="preserve">en enseignement </w:t>
      </w:r>
      <w:r w:rsidRPr="009F3831">
        <w:t>pour le personnel enseignant</w:t>
      </w:r>
      <w:r w:rsidR="00162734" w:rsidRPr="009F3831">
        <w:t>.</w:t>
      </w:r>
    </w:p>
    <w:p w14:paraId="4736487C" w14:textId="5A77F371" w:rsidR="008852EF" w:rsidRPr="009F3831" w:rsidRDefault="008852EF" w:rsidP="00A320BC">
      <w:pPr>
        <w:pStyle w:val="Lijstalinea"/>
        <w:numPr>
          <w:ilvl w:val="0"/>
          <w:numId w:val="18"/>
        </w:numPr>
      </w:pPr>
      <w:r w:rsidRPr="009F3831">
        <w:t>Concertation et collaboration</w:t>
      </w:r>
      <w:r w:rsidR="00C26494" w:rsidRPr="009F3831">
        <w:t xml:space="preserve"> des acteurs éducatifs</w:t>
      </w:r>
      <w:r w:rsidRPr="009F3831">
        <w:t xml:space="preserve"> </w:t>
      </w:r>
      <w:r w:rsidR="00A06391" w:rsidRPr="009F3831">
        <w:t>en contexte de télétravail.</w:t>
      </w:r>
    </w:p>
    <w:p w14:paraId="51127B66" w14:textId="2AD5EFF8" w:rsidR="004D1D7C" w:rsidRPr="009F3831" w:rsidRDefault="008852EF" w:rsidP="00A320BC">
      <w:pPr>
        <w:pStyle w:val="Lijstalinea"/>
        <w:numPr>
          <w:ilvl w:val="0"/>
          <w:numId w:val="18"/>
        </w:numPr>
      </w:pPr>
      <w:r w:rsidRPr="009F3831">
        <w:t>Conciliation travail-famille</w:t>
      </w:r>
      <w:r w:rsidR="00162734" w:rsidRPr="009F3831">
        <w:t xml:space="preserve"> des enseignants et des étudiants</w:t>
      </w:r>
      <w:r w:rsidR="00A06391" w:rsidRPr="009F3831">
        <w:t>.</w:t>
      </w:r>
    </w:p>
    <w:p w14:paraId="13F70A41" w14:textId="085EEF11" w:rsidR="00A20411" w:rsidRPr="009F3831" w:rsidRDefault="008852EF" w:rsidP="004D1D7C">
      <w:pPr>
        <w:pStyle w:val="Lijstalinea"/>
        <w:numPr>
          <w:ilvl w:val="0"/>
          <w:numId w:val="18"/>
        </w:numPr>
      </w:pPr>
      <w:r w:rsidRPr="009F3831">
        <w:t>Perception d’une valeur moindre de la formation à distance chez les étudiants (abandon, contestation des frais de scolarité)</w:t>
      </w:r>
      <w:r w:rsidR="00A20411" w:rsidRPr="009F3831">
        <w:t>.</w:t>
      </w:r>
    </w:p>
    <w:p w14:paraId="393CEA5B" w14:textId="16CE5B6F" w:rsidR="003D499D" w:rsidRPr="009F3831" w:rsidRDefault="00A20411" w:rsidP="004D1D7C">
      <w:pPr>
        <w:pStyle w:val="Lijstalinea"/>
        <w:numPr>
          <w:ilvl w:val="0"/>
          <w:numId w:val="18"/>
        </w:numPr>
      </w:pPr>
      <w:r w:rsidRPr="009F3831">
        <w:t>Financement en contexte d’imp</w:t>
      </w:r>
      <w:r w:rsidR="00C26494" w:rsidRPr="009F3831">
        <w:t>r</w:t>
      </w:r>
      <w:r w:rsidRPr="009F3831">
        <w:t>évisibilité des in</w:t>
      </w:r>
      <w:r w:rsidR="00E934E0" w:rsidRPr="009F3831">
        <w:t>s</w:t>
      </w:r>
      <w:r w:rsidRPr="009F3831">
        <w:t>criptions dans les programmes des différents cycles</w:t>
      </w:r>
      <w:r w:rsidR="003D499D" w:rsidRPr="009F3831">
        <w:t xml:space="preserve"> </w:t>
      </w:r>
      <w:r w:rsidR="002D658A" w:rsidRPr="009F3831">
        <w:t xml:space="preserve">, </w:t>
      </w:r>
      <w:r w:rsidR="00C26494" w:rsidRPr="009F3831">
        <w:t>notamment</w:t>
      </w:r>
      <w:r w:rsidR="003D499D" w:rsidRPr="009F3831">
        <w:t xml:space="preserve"> pour les étudiants internationaux</w:t>
      </w:r>
      <w:r w:rsidR="004D1D7C" w:rsidRPr="009F3831">
        <w:t xml:space="preserve">. </w:t>
      </w:r>
    </w:p>
    <w:p w14:paraId="6FED871F" w14:textId="77777777" w:rsidR="003D499D" w:rsidRPr="009F3831" w:rsidRDefault="003D499D" w:rsidP="00A320BC">
      <w:pPr>
        <w:pStyle w:val="Lijstalinea"/>
        <w:numPr>
          <w:ilvl w:val="0"/>
          <w:numId w:val="18"/>
        </w:numPr>
      </w:pPr>
      <w:r w:rsidRPr="009F3831">
        <w:t>E</w:t>
      </w:r>
      <w:r w:rsidR="004D1D7C" w:rsidRPr="009F3831">
        <w:t>njeu dans la transition secondaire-</w:t>
      </w:r>
      <w:r w:rsidRPr="009F3831">
        <w:t>collège</w:t>
      </w:r>
      <w:r w:rsidR="004D1D7C" w:rsidRPr="009F3831">
        <w:t xml:space="preserve"> en ce qui a trait à la persévérance, aux relations sociales des étudiants et aux préalables </w:t>
      </w:r>
      <w:r w:rsidRPr="009F3831">
        <w:t>non</w:t>
      </w:r>
      <w:r w:rsidR="004D1D7C" w:rsidRPr="009F3831">
        <w:t xml:space="preserve"> acquis. </w:t>
      </w:r>
    </w:p>
    <w:p w14:paraId="09DA73ED" w14:textId="1F7F98C3" w:rsidR="004D1D7C" w:rsidRPr="009F3831" w:rsidRDefault="003D499D" w:rsidP="00A320BC">
      <w:pPr>
        <w:pStyle w:val="Lijstalinea"/>
        <w:numPr>
          <w:ilvl w:val="0"/>
          <w:numId w:val="18"/>
        </w:numPr>
      </w:pPr>
      <w:r w:rsidRPr="009F3831">
        <w:t>C</w:t>
      </w:r>
      <w:r w:rsidR="00162734" w:rsidRPr="009F3831">
        <w:t>onciliation entre les directives sanitaires</w:t>
      </w:r>
      <w:r w:rsidRPr="009F3831">
        <w:t xml:space="preserve"> et la réalité du terrain</w:t>
      </w:r>
      <w:r w:rsidR="00162734" w:rsidRPr="009F3831">
        <w:t xml:space="preserve"> notamment en milieu urbain, en fonction des b</w:t>
      </w:r>
      <w:r w:rsidR="00E934E0" w:rsidRPr="009F3831">
        <w:t>â</w:t>
      </w:r>
      <w:r w:rsidR="00162734" w:rsidRPr="009F3831">
        <w:t>timents, du calendrier et des horaires.</w:t>
      </w:r>
    </w:p>
    <w:p w14:paraId="241DCFF8" w14:textId="0B037511" w:rsidR="003D499D" w:rsidRPr="009F3831" w:rsidRDefault="003D499D" w:rsidP="00A320BC">
      <w:pPr>
        <w:pStyle w:val="Lijstalinea"/>
        <w:numPr>
          <w:ilvl w:val="0"/>
          <w:numId w:val="18"/>
        </w:numPr>
      </w:pPr>
      <w:r w:rsidRPr="009F3831">
        <w:t>Reche</w:t>
      </w:r>
      <w:r w:rsidR="00E934E0" w:rsidRPr="009F3831">
        <w:t>r</w:t>
      </w:r>
      <w:r w:rsidRPr="009F3831">
        <w:t>che universitaire en contexte de surcha</w:t>
      </w:r>
      <w:r w:rsidR="00E934E0" w:rsidRPr="009F3831">
        <w:t>r</w:t>
      </w:r>
      <w:r w:rsidRPr="009F3831">
        <w:t>ge de travail en enseignement et préparation pour la formation à distance.</w:t>
      </w:r>
    </w:p>
    <w:p w14:paraId="1FE0C398" w14:textId="47978EDE" w:rsidR="003D499D" w:rsidRPr="009F3831" w:rsidRDefault="003D499D" w:rsidP="00A320BC">
      <w:pPr>
        <w:pStyle w:val="Lijstalinea"/>
        <w:numPr>
          <w:ilvl w:val="0"/>
          <w:numId w:val="18"/>
        </w:numPr>
      </w:pPr>
      <w:r w:rsidRPr="009F3831">
        <w:t>Santé mentale des étudiants et augmentation de l</w:t>
      </w:r>
      <w:r w:rsidR="00162734" w:rsidRPr="009F3831">
        <w:t>eurs</w:t>
      </w:r>
      <w:r w:rsidRPr="009F3831">
        <w:t xml:space="preserve"> charge</w:t>
      </w:r>
      <w:r w:rsidR="00162734" w:rsidRPr="009F3831">
        <w:t>s</w:t>
      </w:r>
      <w:r w:rsidRPr="009F3831">
        <w:t xml:space="preserve"> de travail</w:t>
      </w:r>
      <w:r w:rsidR="00A06391" w:rsidRPr="009F3831">
        <w:t>.</w:t>
      </w:r>
    </w:p>
    <w:p w14:paraId="3820329D" w14:textId="4858BE62" w:rsidR="003D499D" w:rsidRPr="009F3831" w:rsidRDefault="003D499D" w:rsidP="003D499D">
      <w:pPr>
        <w:pStyle w:val="Lijstalinea"/>
        <w:numPr>
          <w:ilvl w:val="0"/>
          <w:numId w:val="18"/>
        </w:numPr>
      </w:pPr>
      <w:r w:rsidRPr="009F3831">
        <w:t>Accès aux outils technologiques pour les étudiants</w:t>
      </w:r>
      <w:r w:rsidR="00A06391" w:rsidRPr="009F3831">
        <w:t>.</w:t>
      </w:r>
    </w:p>
    <w:p w14:paraId="6F31F04F" w14:textId="517804FB" w:rsidR="009D5623" w:rsidRPr="009F3831" w:rsidRDefault="009D5623" w:rsidP="003D499D">
      <w:pPr>
        <w:pStyle w:val="Lijstalinea"/>
        <w:numPr>
          <w:ilvl w:val="0"/>
          <w:numId w:val="18"/>
        </w:numPr>
      </w:pPr>
      <w:r w:rsidRPr="009F3831">
        <w:lastRenderedPageBreak/>
        <w:t xml:space="preserve">Demandes accrues </w:t>
      </w:r>
      <w:r w:rsidR="00E934E0" w:rsidRPr="009F3831">
        <w:t>sur le</w:t>
      </w:r>
      <w:r w:rsidRPr="009F3831">
        <w:t xml:space="preserve"> plan des services de garde, de santé mentale et d’aide technologique</w:t>
      </w:r>
      <w:r w:rsidR="00162734" w:rsidRPr="009F3831">
        <w:t>.</w:t>
      </w:r>
    </w:p>
    <w:p w14:paraId="7B7F71A7" w14:textId="367427BB" w:rsidR="009D5623" w:rsidRPr="009F3831" w:rsidRDefault="009D5623" w:rsidP="003D499D">
      <w:pPr>
        <w:pStyle w:val="Lijstalinea"/>
        <w:numPr>
          <w:ilvl w:val="0"/>
          <w:numId w:val="18"/>
        </w:numPr>
      </w:pPr>
      <w:r w:rsidRPr="009F3831">
        <w:t>Sécurité d’emploi</w:t>
      </w:r>
      <w:r w:rsidR="00162734" w:rsidRPr="009F3831">
        <w:t xml:space="preserve"> pour </w:t>
      </w:r>
      <w:r w:rsidR="00E934E0" w:rsidRPr="009F3831">
        <w:t>le</w:t>
      </w:r>
      <w:r w:rsidR="00162734" w:rsidRPr="009F3831">
        <w:t xml:space="preserve"> personnel enseignant non titulaire.</w:t>
      </w:r>
    </w:p>
    <w:p w14:paraId="4E30A0B3" w14:textId="46005543" w:rsidR="004D1D7C" w:rsidRPr="009F3831" w:rsidRDefault="004D1D7C" w:rsidP="000510A8">
      <w:pPr>
        <w:autoSpaceDE w:val="0"/>
        <w:autoSpaceDN w:val="0"/>
        <w:adjustRightInd w:val="0"/>
        <w:spacing w:after="0" w:line="240" w:lineRule="auto"/>
        <w:rPr>
          <w:b/>
          <w:lang w:val="fr-CA"/>
        </w:rPr>
      </w:pPr>
      <w:r w:rsidRPr="009F3831">
        <w:rPr>
          <w:b/>
          <w:lang w:val="fr-CA"/>
        </w:rPr>
        <w:t xml:space="preserve">Éducation des adultes et formation continue </w:t>
      </w:r>
    </w:p>
    <w:p w14:paraId="3A68D0E5" w14:textId="7996D0BF" w:rsidR="00D57915" w:rsidRPr="009F3831" w:rsidRDefault="00162734" w:rsidP="00A320BC">
      <w:pPr>
        <w:pStyle w:val="Lijstalinea"/>
        <w:numPr>
          <w:ilvl w:val="0"/>
          <w:numId w:val="20"/>
        </w:numPr>
      </w:pPr>
      <w:r w:rsidRPr="009F3831">
        <w:rPr>
          <w:color w:val="000000" w:themeColor="text1"/>
        </w:rPr>
        <w:t>M</w:t>
      </w:r>
      <w:r w:rsidR="0093132B" w:rsidRPr="009F3831">
        <w:rPr>
          <w:color w:val="000000" w:themeColor="text1"/>
        </w:rPr>
        <w:t xml:space="preserve">anque de ressources informatiques </w:t>
      </w:r>
      <w:r w:rsidRPr="009F3831">
        <w:rPr>
          <w:color w:val="000000" w:themeColor="text1"/>
        </w:rPr>
        <w:t>et</w:t>
      </w:r>
      <w:r w:rsidR="0093132B" w:rsidRPr="009F3831">
        <w:rPr>
          <w:color w:val="000000" w:themeColor="text1"/>
        </w:rPr>
        <w:t xml:space="preserve"> faible littératie numérique</w:t>
      </w:r>
      <w:r w:rsidR="00D57915" w:rsidRPr="009F3831">
        <w:rPr>
          <w:color w:val="000000" w:themeColor="text1"/>
        </w:rPr>
        <w:t xml:space="preserve"> de certains apprenants</w:t>
      </w:r>
      <w:r w:rsidR="00E934E0" w:rsidRPr="009F3831">
        <w:rPr>
          <w:color w:val="000000" w:themeColor="text1"/>
        </w:rPr>
        <w:t>,</w:t>
      </w:r>
      <w:r w:rsidR="00D57915" w:rsidRPr="009F3831">
        <w:rPr>
          <w:color w:val="000000" w:themeColor="text1"/>
        </w:rPr>
        <w:t xml:space="preserve"> dont les </w:t>
      </w:r>
      <w:r w:rsidR="0093132B" w:rsidRPr="009F3831">
        <w:rPr>
          <w:color w:val="000000" w:themeColor="text1"/>
        </w:rPr>
        <w:t xml:space="preserve">adultes </w:t>
      </w:r>
      <w:r w:rsidR="00FA448D" w:rsidRPr="009F3831">
        <w:rPr>
          <w:color w:val="000000" w:themeColor="text1"/>
        </w:rPr>
        <w:t>dont la langue maternelle n’est pas le français</w:t>
      </w:r>
      <w:r w:rsidR="0093132B" w:rsidRPr="009F3831">
        <w:rPr>
          <w:color w:val="000000" w:themeColor="text1"/>
        </w:rPr>
        <w:t>.</w:t>
      </w:r>
    </w:p>
    <w:p w14:paraId="03E1D3DF" w14:textId="76296FB1" w:rsidR="00D57915" w:rsidRPr="009F3831" w:rsidRDefault="00D57915" w:rsidP="00A320BC">
      <w:pPr>
        <w:pStyle w:val="Lijstalinea"/>
        <w:numPr>
          <w:ilvl w:val="0"/>
          <w:numId w:val="20"/>
        </w:numPr>
      </w:pPr>
      <w:r w:rsidRPr="009F3831">
        <w:rPr>
          <w:color w:val="000000" w:themeColor="text1"/>
        </w:rPr>
        <w:t>Gestion des préalables à la poursuite des études pour les élèves en</w:t>
      </w:r>
      <w:r w:rsidR="004D1D7C" w:rsidRPr="009F3831">
        <w:t xml:space="preserve"> </w:t>
      </w:r>
      <w:r w:rsidRPr="009F3831">
        <w:t>formation générale des adultes</w:t>
      </w:r>
      <w:r w:rsidR="00D565C3" w:rsidRPr="009F3831">
        <w:t xml:space="preserve">, </w:t>
      </w:r>
      <w:r w:rsidRPr="009F3831">
        <w:t>évaluation</w:t>
      </w:r>
      <w:r w:rsidR="00D565C3" w:rsidRPr="009F3831">
        <w:t xml:space="preserve"> et sanction des études</w:t>
      </w:r>
      <w:r w:rsidRPr="009F3831">
        <w:t>.</w:t>
      </w:r>
    </w:p>
    <w:p w14:paraId="6F3CC84D" w14:textId="7A5889B7" w:rsidR="004D1D7C" w:rsidRPr="009F3831" w:rsidRDefault="00D57915" w:rsidP="00A320BC">
      <w:pPr>
        <w:pStyle w:val="Lijstalinea"/>
        <w:numPr>
          <w:ilvl w:val="0"/>
          <w:numId w:val="20"/>
        </w:numPr>
      </w:pPr>
      <w:r w:rsidRPr="009F3831">
        <w:t xml:space="preserve">Abandon </w:t>
      </w:r>
      <w:r w:rsidR="00460FAF" w:rsidRPr="009F3831">
        <w:t xml:space="preserve">élevé </w:t>
      </w:r>
      <w:r w:rsidRPr="009F3831">
        <w:rPr>
          <w:color w:val="000000" w:themeColor="text1"/>
        </w:rPr>
        <w:t>en</w:t>
      </w:r>
      <w:r w:rsidRPr="009F3831">
        <w:t xml:space="preserve"> formation générale des adultes</w:t>
      </w:r>
      <w:r w:rsidR="00460FAF" w:rsidRPr="009F3831">
        <w:t xml:space="preserve"> et en formation professionnelle</w:t>
      </w:r>
    </w:p>
    <w:p w14:paraId="6AB98865" w14:textId="26BA3438" w:rsidR="00D57915" w:rsidRPr="009F3831" w:rsidRDefault="00D57915" w:rsidP="00A320BC">
      <w:pPr>
        <w:pStyle w:val="Lijstalinea"/>
        <w:numPr>
          <w:ilvl w:val="0"/>
          <w:numId w:val="20"/>
        </w:numPr>
      </w:pPr>
      <w:r w:rsidRPr="009F3831">
        <w:t>Accès à une connexion internet et à des outils informatiques pour les étudiants défavorisés et partage des outils dans les familles.</w:t>
      </w:r>
    </w:p>
    <w:p w14:paraId="7065CDB2" w14:textId="7D0EF27A" w:rsidR="00D57915" w:rsidRPr="009F3831" w:rsidRDefault="00D57915" w:rsidP="00A320BC">
      <w:pPr>
        <w:pStyle w:val="Lijstalinea"/>
        <w:numPr>
          <w:ilvl w:val="0"/>
          <w:numId w:val="20"/>
        </w:numPr>
      </w:pPr>
      <w:r w:rsidRPr="009F3831">
        <w:t>Impossibilité de poursuivre l’enseignement pour les activités en laboratoire</w:t>
      </w:r>
      <w:r w:rsidR="00294E0D" w:rsidRPr="009F3831">
        <w:t>, certains enseignements et</w:t>
      </w:r>
      <w:r w:rsidR="00D565C3" w:rsidRPr="009F3831">
        <w:t xml:space="preserve"> types d’évaluation</w:t>
      </w:r>
      <w:r w:rsidRPr="009F3831">
        <w:t>.</w:t>
      </w:r>
    </w:p>
    <w:p w14:paraId="4BA97C8B" w14:textId="77777777" w:rsidR="00D565C3" w:rsidRPr="009F3831" w:rsidRDefault="00D565C3" w:rsidP="004D1D7C">
      <w:pPr>
        <w:pStyle w:val="Lijstalinea"/>
        <w:numPr>
          <w:ilvl w:val="0"/>
          <w:numId w:val="20"/>
        </w:numPr>
      </w:pPr>
      <w:r w:rsidRPr="009F3831">
        <w:t xml:space="preserve">Manque de clarté des directives gouvernementales et de concertation entre les différents ministères impliqués dans la formation générale des adultes. </w:t>
      </w:r>
    </w:p>
    <w:p w14:paraId="0B355E42" w14:textId="77777777" w:rsidR="00D565C3" w:rsidRPr="009F3831" w:rsidRDefault="00D565C3" w:rsidP="004D1D7C">
      <w:pPr>
        <w:pStyle w:val="Lijstalinea"/>
        <w:numPr>
          <w:ilvl w:val="0"/>
          <w:numId w:val="20"/>
        </w:numPr>
      </w:pPr>
      <w:r w:rsidRPr="009F3831">
        <w:t>D</w:t>
      </w:r>
      <w:r w:rsidR="004D1D7C" w:rsidRPr="009F3831">
        <w:t>isponibi</w:t>
      </w:r>
      <w:r w:rsidRPr="009F3831">
        <w:t>lité des équipements sanitaires.</w:t>
      </w:r>
    </w:p>
    <w:p w14:paraId="25374E18" w14:textId="77777777" w:rsidR="00D565C3" w:rsidRPr="009F3831" w:rsidRDefault="00D565C3" w:rsidP="004D1D7C">
      <w:pPr>
        <w:pStyle w:val="Lijstalinea"/>
        <w:numPr>
          <w:ilvl w:val="0"/>
          <w:numId w:val="20"/>
        </w:numPr>
      </w:pPr>
      <w:r w:rsidRPr="009F3831">
        <w:t>R</w:t>
      </w:r>
      <w:r w:rsidR="004D1D7C" w:rsidRPr="009F3831">
        <w:t>espect des directives dans les ateliers, les laboratoires et les classes d’informatique.</w:t>
      </w:r>
    </w:p>
    <w:p w14:paraId="1071ED48" w14:textId="12F20C4C" w:rsidR="004D1D7C" w:rsidRPr="009F3831" w:rsidRDefault="00D565C3" w:rsidP="004D1D7C">
      <w:pPr>
        <w:pStyle w:val="Lijstalinea"/>
        <w:numPr>
          <w:ilvl w:val="0"/>
          <w:numId w:val="20"/>
        </w:numPr>
      </w:pPr>
      <w:r w:rsidRPr="009F3831">
        <w:t>Soutien pédagogique des étudiants allophones.</w:t>
      </w:r>
    </w:p>
    <w:p w14:paraId="74E6A9B1" w14:textId="413AA021" w:rsidR="00D565C3" w:rsidRPr="009F3831" w:rsidRDefault="00D565C3" w:rsidP="004D1D7C">
      <w:pPr>
        <w:pStyle w:val="Lijstalinea"/>
        <w:numPr>
          <w:ilvl w:val="0"/>
          <w:numId w:val="20"/>
        </w:numPr>
      </w:pPr>
      <w:r w:rsidRPr="009F3831">
        <w:t>Conciliation étude-famille pour les apprenants adultes.</w:t>
      </w:r>
    </w:p>
    <w:p w14:paraId="011DE949" w14:textId="7451588B" w:rsidR="00D565C3" w:rsidRPr="009F3831" w:rsidRDefault="00294E0D" w:rsidP="00294E0D">
      <w:pPr>
        <w:pStyle w:val="Lijstalinea"/>
        <w:numPr>
          <w:ilvl w:val="0"/>
          <w:numId w:val="20"/>
        </w:numPr>
      </w:pPr>
      <w:r w:rsidRPr="009F3831">
        <w:t>Conciliation entre les directives sanitaires et les particularités des bâtiments réalité du terrain.</w:t>
      </w:r>
    </w:p>
    <w:p w14:paraId="6FBEBAB7" w14:textId="32C2C389" w:rsidR="00294E0D" w:rsidRPr="009F3831" w:rsidRDefault="00294E0D" w:rsidP="00294E0D">
      <w:pPr>
        <w:pStyle w:val="Lijstalinea"/>
        <w:numPr>
          <w:ilvl w:val="0"/>
          <w:numId w:val="20"/>
        </w:numPr>
      </w:pPr>
      <w:r w:rsidRPr="009F3831">
        <w:t>Enjeux de financement à l’éducation aux adultes (pertes d’emplois en raison de la pandémie)</w:t>
      </w:r>
      <w:r w:rsidR="00460FAF" w:rsidRPr="009F3831">
        <w:t>.</w:t>
      </w:r>
    </w:p>
    <w:p w14:paraId="74D4311D" w14:textId="37DE33DD" w:rsidR="00460FAF" w:rsidRPr="009F3831" w:rsidRDefault="00460FAF" w:rsidP="00294E0D">
      <w:pPr>
        <w:pStyle w:val="Lijstalinea"/>
        <w:numPr>
          <w:ilvl w:val="0"/>
          <w:numId w:val="20"/>
        </w:numPr>
      </w:pPr>
      <w:r w:rsidRPr="009F3831">
        <w:t>Contradiction et interprétation de certaines directives gouvernementales.</w:t>
      </w:r>
    </w:p>
    <w:p w14:paraId="6278717C" w14:textId="089A207A" w:rsidR="00AE7AAE" w:rsidRPr="009F3831" w:rsidRDefault="00AE7AAE" w:rsidP="00294E0D">
      <w:pPr>
        <w:pStyle w:val="Lijstalinea"/>
        <w:numPr>
          <w:ilvl w:val="0"/>
          <w:numId w:val="20"/>
        </w:numPr>
      </w:pPr>
      <w:r w:rsidRPr="009F3831">
        <w:t>Surcharge de travail pour le personnel enseignant</w:t>
      </w:r>
    </w:p>
    <w:p w14:paraId="0494AFCF" w14:textId="1CC15994" w:rsidR="000510A8" w:rsidRPr="009F3831" w:rsidRDefault="000510A8">
      <w:r w:rsidRPr="009F3831">
        <w:br w:type="page"/>
      </w:r>
    </w:p>
    <w:p w14:paraId="40963797" w14:textId="77777777" w:rsidR="004D1D7C" w:rsidRPr="009F3831" w:rsidRDefault="004D1D7C" w:rsidP="004D1D7C">
      <w:pPr>
        <w:spacing w:after="0"/>
      </w:pPr>
    </w:p>
    <w:p w14:paraId="1B634C54" w14:textId="57AA1B24" w:rsidR="0074592C" w:rsidRPr="009F3831" w:rsidRDefault="00DB67AD" w:rsidP="00F061AC">
      <w:pPr>
        <w:pStyle w:val="Lijstalinea"/>
        <w:numPr>
          <w:ilvl w:val="0"/>
          <w:numId w:val="7"/>
        </w:numPr>
        <w:spacing w:after="0" w:line="240" w:lineRule="auto"/>
        <w:rPr>
          <w:rFonts w:eastAsia="Times New Roman"/>
          <w:color w:val="7F7F7F" w:themeColor="text1" w:themeTint="80"/>
          <w:lang w:val="en-US"/>
        </w:rPr>
      </w:pPr>
      <w:r w:rsidRPr="009F3831">
        <w:rPr>
          <w:rFonts w:eastAsia="Times New Roman"/>
          <w:color w:val="7F7F7F" w:themeColor="text1" w:themeTint="80"/>
          <w:highlight w:val="yellow"/>
          <w:lang w:val="en-US"/>
        </w:rPr>
        <w:t xml:space="preserve">What were the main innovations that </w:t>
      </w:r>
      <w:r w:rsidR="0074592C" w:rsidRPr="009F3831">
        <w:rPr>
          <w:rFonts w:eastAsia="Times New Roman"/>
          <w:color w:val="7F7F7F" w:themeColor="text1" w:themeTint="80"/>
          <w:highlight w:val="yellow"/>
          <w:lang w:val="en-US"/>
        </w:rPr>
        <w:t xml:space="preserve">opened new opportunities for renewal in education policies? Are there any lessons learned for new approaches in education (e.g. added value of blended learning, blended counseling of pupils, …)? </w:t>
      </w:r>
      <w:r w:rsidRPr="009F3831">
        <w:rPr>
          <w:rFonts w:eastAsia="Times New Roman"/>
          <w:color w:val="7F7F7F" w:themeColor="text1" w:themeTint="80"/>
          <w:highlight w:val="yellow"/>
          <w:lang w:val="en-US"/>
        </w:rPr>
        <w:t xml:space="preserve">What was the role played by distance </w:t>
      </w:r>
      <w:r w:rsidR="0074592C" w:rsidRPr="009F3831">
        <w:rPr>
          <w:rFonts w:eastAsia="Times New Roman"/>
          <w:color w:val="7F7F7F" w:themeColor="text1" w:themeTint="80"/>
          <w:highlight w:val="yellow"/>
          <w:lang w:val="en-US"/>
        </w:rPr>
        <w:t>learning?</w:t>
      </w:r>
      <w:r w:rsidRPr="009F3831">
        <w:rPr>
          <w:rFonts w:eastAsia="Times New Roman"/>
          <w:color w:val="7F7F7F" w:themeColor="text1" w:themeTint="80"/>
          <w:highlight w:val="yellow"/>
          <w:lang w:val="en-US"/>
        </w:rPr>
        <w:t xml:space="preserve"> Blended learning? </w:t>
      </w:r>
      <w:r w:rsidR="0074592C" w:rsidRPr="009F3831">
        <w:rPr>
          <w:rFonts w:eastAsia="Times New Roman"/>
          <w:color w:val="7F7F7F" w:themeColor="text1" w:themeTint="80"/>
          <w:highlight w:val="yellow"/>
          <w:lang w:val="en-US"/>
        </w:rPr>
        <w:t>W</w:t>
      </w:r>
      <w:r w:rsidRPr="009F3831">
        <w:rPr>
          <w:rFonts w:eastAsia="Times New Roman"/>
          <w:color w:val="7F7F7F" w:themeColor="text1" w:themeTint="80"/>
          <w:highlight w:val="yellow"/>
          <w:lang w:val="en-US"/>
        </w:rPr>
        <w:t xml:space="preserve">hat </w:t>
      </w:r>
      <w:r w:rsidR="00E84F83" w:rsidRPr="009F3831">
        <w:rPr>
          <w:rFonts w:eastAsia="Times New Roman"/>
          <w:color w:val="7F7F7F" w:themeColor="text1" w:themeTint="80"/>
          <w:highlight w:val="yellow"/>
          <w:lang w:val="en-US"/>
        </w:rPr>
        <w:t>are</w:t>
      </w:r>
      <w:r w:rsidRPr="009F3831">
        <w:rPr>
          <w:rFonts w:eastAsia="Times New Roman"/>
          <w:color w:val="7F7F7F" w:themeColor="text1" w:themeTint="80"/>
          <w:highlight w:val="yellow"/>
          <w:lang w:val="en-US"/>
        </w:rPr>
        <w:t xml:space="preserve"> the lessons learned by these innovations?</w:t>
      </w:r>
      <w:r w:rsidRPr="009F3831">
        <w:rPr>
          <w:rFonts w:eastAsia="Times New Roman"/>
          <w:color w:val="7F7F7F" w:themeColor="text1" w:themeTint="80"/>
          <w:lang w:val="en-US"/>
        </w:rPr>
        <w:t xml:space="preserve"> </w:t>
      </w:r>
    </w:p>
    <w:p w14:paraId="4C81BC56" w14:textId="77777777" w:rsidR="00007D44" w:rsidRPr="009F3831" w:rsidRDefault="00007D44" w:rsidP="00007D44">
      <w:pPr>
        <w:pStyle w:val="Koptekst"/>
        <w:jc w:val="both"/>
      </w:pPr>
    </w:p>
    <w:p w14:paraId="6C411725" w14:textId="29D33A75" w:rsidR="000510A8" w:rsidRPr="009F3831" w:rsidRDefault="00007D44" w:rsidP="000534C2">
      <w:pPr>
        <w:pStyle w:val="Koptekst"/>
        <w:numPr>
          <w:ilvl w:val="0"/>
          <w:numId w:val="7"/>
        </w:numPr>
        <w:ind w:left="284"/>
        <w:jc w:val="both"/>
        <w:rPr>
          <w:rFonts w:cs="Segoe UI"/>
        </w:rPr>
      </w:pPr>
      <w:r w:rsidRPr="009F3831">
        <w:t>En enseignement obligatoire, l</w:t>
      </w:r>
      <w:r w:rsidRPr="009F3831">
        <w:rPr>
          <w:rFonts w:cs="Segoe UI"/>
        </w:rPr>
        <w:t>e déploiement de la formation à distance dans le contexte d’urgence a mis en exergue les enjeux des différents types d’inégalités et d’iniquités en contexte numérique notamment en ce qui a trait à l’accessibilité et à la littératie numérique. Cette réalité et la possibilité d’une 2</w:t>
      </w:r>
      <w:r w:rsidRPr="009F3831">
        <w:rPr>
          <w:rFonts w:cs="Segoe UI"/>
          <w:vertAlign w:val="superscript"/>
        </w:rPr>
        <w:t>e</w:t>
      </w:r>
      <w:r w:rsidRPr="009F3831">
        <w:rPr>
          <w:rFonts w:cs="Segoe UI"/>
        </w:rPr>
        <w:t xml:space="preserve"> vague </w:t>
      </w:r>
      <w:r w:rsidR="007C5A48" w:rsidRPr="009F3831">
        <w:rPr>
          <w:rFonts w:cs="Segoe UI"/>
        </w:rPr>
        <w:t>ont</w:t>
      </w:r>
      <w:r w:rsidRPr="009F3831">
        <w:rPr>
          <w:rFonts w:cs="Segoe UI"/>
        </w:rPr>
        <w:t xml:space="preserve"> incité le gouvernement a investir massivement dans l’achat d’outils informatique</w:t>
      </w:r>
      <w:r w:rsidR="00E934E0" w:rsidRPr="009F3831">
        <w:rPr>
          <w:rFonts w:cs="Segoe UI"/>
        </w:rPr>
        <w:t>s</w:t>
      </w:r>
      <w:r w:rsidRPr="009F3831">
        <w:rPr>
          <w:rFonts w:cs="Segoe UI"/>
        </w:rPr>
        <w:t xml:space="preserve"> et à en garantir leur accès pour tous les apprenants. </w:t>
      </w:r>
    </w:p>
    <w:p w14:paraId="5A5E926E" w14:textId="77777777" w:rsidR="000510A8" w:rsidRPr="009F3831" w:rsidRDefault="000510A8" w:rsidP="00007D44">
      <w:pPr>
        <w:pStyle w:val="Koptekst"/>
        <w:jc w:val="both"/>
        <w:rPr>
          <w:rFonts w:cs="Segoe UI"/>
        </w:rPr>
      </w:pPr>
    </w:p>
    <w:p w14:paraId="2987D39B" w14:textId="172DC22E" w:rsidR="000510A8" w:rsidRPr="009F3831" w:rsidRDefault="00007D44" w:rsidP="000534C2">
      <w:pPr>
        <w:pStyle w:val="Koptekst"/>
        <w:numPr>
          <w:ilvl w:val="0"/>
          <w:numId w:val="7"/>
        </w:numPr>
        <w:ind w:left="284"/>
        <w:jc w:val="both"/>
      </w:pPr>
      <w:r w:rsidRPr="009F3831">
        <w:t>Par rapport à la formation des enseignants, une formation gratuite (facultative et en ligne) a été diffusé</w:t>
      </w:r>
      <w:r w:rsidR="00E934E0" w:rsidRPr="009F3831">
        <w:t>e</w:t>
      </w:r>
      <w:r w:rsidRPr="009F3831">
        <w:t xml:space="preserve"> pendant la pandémie suivant un investissement gouvernemental. Par ailleurs, le contexte sanitaire aura été l’occasion pour de nombreux établissements de favoriser une meilleure articulation entre le personnel dédié au soutien informatique et le personnel enseignant et à revoir leur politique en matière de sécurité informatique et de choix de plateformes numérique.</w:t>
      </w:r>
    </w:p>
    <w:p w14:paraId="2FFAD25B" w14:textId="77777777" w:rsidR="000510A8" w:rsidRPr="009F3831" w:rsidRDefault="000510A8" w:rsidP="000534C2">
      <w:pPr>
        <w:pStyle w:val="Koptekst"/>
        <w:jc w:val="both"/>
      </w:pPr>
    </w:p>
    <w:p w14:paraId="63A282A9" w14:textId="277652C7" w:rsidR="00007D44" w:rsidRPr="009F3831" w:rsidRDefault="00007D44" w:rsidP="000534C2">
      <w:pPr>
        <w:pStyle w:val="Koptekst"/>
        <w:numPr>
          <w:ilvl w:val="0"/>
          <w:numId w:val="7"/>
        </w:numPr>
        <w:ind w:left="284"/>
        <w:jc w:val="both"/>
      </w:pPr>
      <w:r w:rsidRPr="009F3831">
        <w:t xml:space="preserve">Enfin, la fermeture des écoles et le recours à l’enseignement à distance </w:t>
      </w:r>
      <w:r w:rsidR="007C5A48" w:rsidRPr="009F3831">
        <w:t>a</w:t>
      </w:r>
      <w:r w:rsidRPr="009F3831">
        <w:t xml:space="preserve"> aussi mis en lumière la diversité des besoins des élèves. Cette dernière a été pris</w:t>
      </w:r>
      <w:r w:rsidR="00E934E0" w:rsidRPr="009F3831">
        <w:t>e</w:t>
      </w:r>
      <w:r w:rsidRPr="009F3831">
        <w:t xml:space="preserve"> en compte dans les différentes mesures annoncé</w:t>
      </w:r>
      <w:r w:rsidR="00E934E0" w:rsidRPr="009F3831">
        <w:t>e</w:t>
      </w:r>
      <w:r w:rsidRPr="009F3831">
        <w:t>s pour la rentrée scolaire</w:t>
      </w:r>
      <w:r w:rsidR="007C5A48" w:rsidRPr="009F3831">
        <w:t xml:space="preserve"> de l’automne</w:t>
      </w:r>
      <w:r w:rsidRPr="009F3831">
        <w:t xml:space="preserve">. </w:t>
      </w:r>
    </w:p>
    <w:p w14:paraId="70223954" w14:textId="77777777" w:rsidR="000534C2" w:rsidRPr="009F3831" w:rsidRDefault="000534C2" w:rsidP="000534C2">
      <w:pPr>
        <w:pStyle w:val="Koptekst"/>
        <w:ind w:left="284"/>
        <w:jc w:val="both"/>
      </w:pPr>
    </w:p>
    <w:p w14:paraId="779B17E9" w14:textId="2B40CDC1" w:rsidR="00376C04" w:rsidRPr="009F3831" w:rsidRDefault="00827991" w:rsidP="000534C2">
      <w:pPr>
        <w:pStyle w:val="Koptekst"/>
        <w:numPr>
          <w:ilvl w:val="0"/>
          <w:numId w:val="7"/>
        </w:numPr>
        <w:ind w:left="284"/>
        <w:jc w:val="both"/>
      </w:pPr>
      <w:r w:rsidRPr="009F3831">
        <w:t xml:space="preserve">Les mesures de distanciation physique requises pour freiner la propagation de la COVID-19 ont amené de nombreux collèges et universités du Québec à se tourner vers la formation à distance. Les établissements d’enseignement supérieur, leur personnel enseignant et leurs étudiantes et étudiants ne partaient pas du même point pour aborder un changement aussi majeur.  </w:t>
      </w:r>
      <w:r w:rsidR="006F39BF" w:rsidRPr="009F3831">
        <w:t xml:space="preserve">En </w:t>
      </w:r>
      <w:r w:rsidRPr="009F3831">
        <w:t>2018, 88 % des universités québécoises et 56 % des collèges offraient de la formation à distance à des degrés divers. Par ailleurs, seulement 20 % de la population étudiante universitaire, ainsi que 4 % de celle du collégial, avait déjà suivi au moins un cours à distance. Pour beaucoup, la pandémie a donc été l’occasion d’une première expérience. En ce qui concerne les établissements, certains disposent d’une infrastructure dédiée, alors que d’autres doivent l’inventer.</w:t>
      </w:r>
      <w:r w:rsidR="00C27A8E" w:rsidRPr="009F3831">
        <w:t xml:space="preserve"> </w:t>
      </w:r>
    </w:p>
    <w:p w14:paraId="6B41C162" w14:textId="77777777" w:rsidR="00376C04" w:rsidRPr="009F3831" w:rsidRDefault="00376C04" w:rsidP="00376C04">
      <w:pPr>
        <w:pStyle w:val="Koptekst"/>
        <w:jc w:val="both"/>
      </w:pPr>
    </w:p>
    <w:p w14:paraId="69BB46DD" w14:textId="154A890C" w:rsidR="00DB67AD" w:rsidRPr="009F3831" w:rsidRDefault="0074592C" w:rsidP="0074592C">
      <w:pPr>
        <w:pStyle w:val="Lijstalinea"/>
        <w:keepNext/>
        <w:keepLines/>
        <w:numPr>
          <w:ilvl w:val="0"/>
          <w:numId w:val="5"/>
        </w:numPr>
        <w:spacing w:before="240" w:after="240" w:line="280" w:lineRule="exact"/>
        <w:jc w:val="center"/>
        <w:rPr>
          <w:rFonts w:eastAsia="Times New Roman" w:cs="Times New Roman"/>
          <w:b/>
          <w:color w:val="7F7F7F" w:themeColor="text1" w:themeTint="80"/>
          <w:kern w:val="28"/>
          <w:highlight w:val="yellow"/>
          <w:lang w:val="en-GB" w:eastAsia="nl-NL"/>
        </w:rPr>
      </w:pPr>
      <w:r w:rsidRPr="009F3831">
        <w:rPr>
          <w:rFonts w:eastAsia="Times New Roman" w:cs="Times New Roman"/>
          <w:b/>
          <w:color w:val="7F7F7F" w:themeColor="text1" w:themeTint="80"/>
          <w:kern w:val="28"/>
          <w:highlight w:val="yellow"/>
          <w:lang w:val="en-GB" w:eastAsia="nl-NL"/>
        </w:rPr>
        <w:t xml:space="preserve">Positions and </w:t>
      </w:r>
      <w:r w:rsidR="00E84F83" w:rsidRPr="009F3831">
        <w:rPr>
          <w:rFonts w:eastAsia="Times New Roman" w:cs="Times New Roman"/>
          <w:b/>
          <w:color w:val="7F7F7F" w:themeColor="text1" w:themeTint="80"/>
          <w:kern w:val="28"/>
          <w:highlight w:val="yellow"/>
          <w:lang w:val="en-GB" w:eastAsia="nl-NL"/>
        </w:rPr>
        <w:t>recommendations</w:t>
      </w:r>
      <w:r w:rsidRPr="009F3831">
        <w:rPr>
          <w:rFonts w:eastAsia="Times New Roman" w:cs="Times New Roman"/>
          <w:b/>
          <w:color w:val="7F7F7F" w:themeColor="text1" w:themeTint="80"/>
          <w:kern w:val="28"/>
          <w:highlight w:val="yellow"/>
          <w:lang w:val="en-GB" w:eastAsia="nl-NL"/>
        </w:rPr>
        <w:t xml:space="preserve"> of education councils </w:t>
      </w:r>
    </w:p>
    <w:p w14:paraId="73A1FC80" w14:textId="6CC3F82D" w:rsidR="00DB67AD" w:rsidRPr="009F3831" w:rsidRDefault="00DB67AD" w:rsidP="00E84F83">
      <w:pPr>
        <w:pStyle w:val="Lijstalinea"/>
        <w:numPr>
          <w:ilvl w:val="0"/>
          <w:numId w:val="7"/>
        </w:numPr>
        <w:rPr>
          <w:color w:val="7F7F7F" w:themeColor="text1" w:themeTint="80"/>
          <w:highlight w:val="yellow"/>
          <w:lang w:val="en-US"/>
        </w:rPr>
      </w:pPr>
      <w:r w:rsidRPr="009F3831">
        <w:rPr>
          <w:color w:val="7F7F7F" w:themeColor="text1" w:themeTint="80"/>
          <w:highlight w:val="yellow"/>
          <w:lang w:val="en-US"/>
        </w:rPr>
        <w:t xml:space="preserve">Did your Council release </w:t>
      </w:r>
      <w:r w:rsidR="00E84F83" w:rsidRPr="009F3831">
        <w:rPr>
          <w:color w:val="7F7F7F" w:themeColor="text1" w:themeTint="80"/>
          <w:highlight w:val="yellow"/>
          <w:lang w:val="en-US"/>
        </w:rPr>
        <w:t>recommendations</w:t>
      </w:r>
      <w:r w:rsidRPr="009F3831">
        <w:rPr>
          <w:color w:val="7F7F7F" w:themeColor="text1" w:themeTint="80"/>
          <w:highlight w:val="yellow"/>
          <w:lang w:val="en-US"/>
        </w:rPr>
        <w:t xml:space="preserve"> on education in pandemic times?</w:t>
      </w:r>
      <w:r w:rsidR="00E84F83" w:rsidRPr="009F3831">
        <w:rPr>
          <w:color w:val="7F7F7F" w:themeColor="text1" w:themeTint="80"/>
          <w:highlight w:val="yellow"/>
          <w:lang w:val="en-US"/>
        </w:rPr>
        <w:t xml:space="preserve"> Or are recommendations planned? In progress?</w:t>
      </w:r>
    </w:p>
    <w:p w14:paraId="2860C2CC" w14:textId="652B0EAD" w:rsidR="00DB67AD" w:rsidRPr="009F3831" w:rsidRDefault="00DB67AD" w:rsidP="00E84F83">
      <w:pPr>
        <w:pStyle w:val="Lijstalinea"/>
        <w:numPr>
          <w:ilvl w:val="0"/>
          <w:numId w:val="7"/>
        </w:numPr>
        <w:rPr>
          <w:color w:val="7F7F7F" w:themeColor="text1" w:themeTint="80"/>
          <w:highlight w:val="yellow"/>
          <w:lang w:val="en-US"/>
        </w:rPr>
      </w:pPr>
      <w:r w:rsidRPr="009F3831">
        <w:rPr>
          <w:color w:val="7F7F7F" w:themeColor="text1" w:themeTint="80"/>
          <w:highlight w:val="yellow"/>
          <w:lang w:val="en-US"/>
        </w:rPr>
        <w:t xml:space="preserve">What is the main focus of </w:t>
      </w:r>
      <w:r w:rsidR="00E84F83" w:rsidRPr="009F3831">
        <w:rPr>
          <w:color w:val="7F7F7F" w:themeColor="text1" w:themeTint="80"/>
          <w:highlight w:val="yellow"/>
          <w:lang w:val="en-US"/>
        </w:rPr>
        <w:t>those recommendations</w:t>
      </w:r>
      <w:r w:rsidRPr="009F3831">
        <w:rPr>
          <w:color w:val="7F7F7F" w:themeColor="text1" w:themeTint="80"/>
          <w:highlight w:val="yellow"/>
          <w:lang w:val="en-US"/>
        </w:rPr>
        <w:t>?</w:t>
      </w:r>
    </w:p>
    <w:p w14:paraId="132F227B" w14:textId="320B6B0A" w:rsidR="00493B0E" w:rsidRPr="009F3831" w:rsidRDefault="00DB67AD" w:rsidP="00E84F83">
      <w:pPr>
        <w:pStyle w:val="Lijstalinea"/>
        <w:numPr>
          <w:ilvl w:val="0"/>
          <w:numId w:val="7"/>
        </w:numPr>
        <w:rPr>
          <w:color w:val="7F7F7F" w:themeColor="text1" w:themeTint="80"/>
          <w:highlight w:val="yellow"/>
          <w:lang w:val="en-US"/>
        </w:rPr>
      </w:pPr>
      <w:r w:rsidRPr="009F3831">
        <w:rPr>
          <w:color w:val="7F7F7F" w:themeColor="text1" w:themeTint="80"/>
          <w:highlight w:val="yellow"/>
          <w:lang w:val="en-US"/>
        </w:rPr>
        <w:t xml:space="preserve">What are the most relevant recommendations produced by your </w:t>
      </w:r>
      <w:r w:rsidR="00E84F83" w:rsidRPr="009F3831">
        <w:rPr>
          <w:color w:val="7F7F7F" w:themeColor="text1" w:themeTint="80"/>
          <w:highlight w:val="yellow"/>
          <w:lang w:val="en-US"/>
        </w:rPr>
        <w:t>E</w:t>
      </w:r>
      <w:r w:rsidRPr="009F3831">
        <w:rPr>
          <w:color w:val="7F7F7F" w:themeColor="text1" w:themeTint="80"/>
          <w:highlight w:val="yellow"/>
          <w:lang w:val="en-US"/>
        </w:rPr>
        <w:t xml:space="preserve">ducation Council? </w:t>
      </w:r>
    </w:p>
    <w:p w14:paraId="3C964E4A" w14:textId="42B3372D" w:rsidR="00847DD3" w:rsidRPr="009F3831" w:rsidRDefault="00847DD3" w:rsidP="000534C2">
      <w:pPr>
        <w:jc w:val="both"/>
      </w:pPr>
      <w:r w:rsidRPr="009F3831">
        <w:t>Le ministère de l’</w:t>
      </w:r>
      <w:r w:rsidR="00E934E0" w:rsidRPr="009F3831">
        <w:t>É</w:t>
      </w:r>
      <w:r w:rsidRPr="009F3831">
        <w:t xml:space="preserve">ducation a dû faire des modifications aux différents régimes pédagogiques des ordres d’enseignement afin de correspondre à la réalité imposée par le confinement. En vertu de sa loi constitutive, le Conseil devait se prononcer sur ces modifications, ce qui a conduit à la production et à la diffusion de </w:t>
      </w:r>
      <w:r w:rsidRPr="009F3831">
        <w:rPr>
          <w:b/>
        </w:rPr>
        <w:t>quatre avis</w:t>
      </w:r>
      <w:r w:rsidR="008665E3" w:rsidRPr="009F3831">
        <w:t>. Certain</w:t>
      </w:r>
      <w:r w:rsidR="00E934E0" w:rsidRPr="009F3831">
        <w:t>e</w:t>
      </w:r>
      <w:r w:rsidR="008665E3" w:rsidRPr="009F3831">
        <w:t>s des reco</w:t>
      </w:r>
      <w:r w:rsidR="00C35991" w:rsidRPr="009F3831">
        <w:t>mm</w:t>
      </w:r>
      <w:r w:rsidR="00E934E0" w:rsidRPr="009F3831">
        <w:t>a</w:t>
      </w:r>
      <w:r w:rsidR="00C35991" w:rsidRPr="009F3831">
        <w:t>ndations</w:t>
      </w:r>
      <w:r w:rsidR="008665E3" w:rsidRPr="009F3831">
        <w:t xml:space="preserve"> émises dans ces avis ont été pris</w:t>
      </w:r>
      <w:r w:rsidR="00E934E0" w:rsidRPr="009F3831">
        <w:t>es</w:t>
      </w:r>
      <w:r w:rsidR="008665E3" w:rsidRPr="009F3831">
        <w:t xml:space="preserve"> en compte par le ministère de l’Éducation</w:t>
      </w:r>
      <w:r w:rsidRPr="009F3831">
        <w:t xml:space="preserve">. </w:t>
      </w:r>
    </w:p>
    <w:p w14:paraId="70588399" w14:textId="159A8C95" w:rsidR="00AB6386" w:rsidRPr="009F3831" w:rsidRDefault="00AB6386" w:rsidP="000534C2">
      <w:pPr>
        <w:jc w:val="both"/>
        <w:rPr>
          <w:b/>
        </w:rPr>
      </w:pPr>
      <w:r w:rsidRPr="009F3831">
        <w:rPr>
          <w:b/>
        </w:rPr>
        <w:t>Avis du Conseil supérieur de l’éducation en lien avec les modifications réglementaires décrétées par le gouvernement dans le contexte de la pandémie.</w:t>
      </w:r>
    </w:p>
    <w:p w14:paraId="0B782A58" w14:textId="21010DA1" w:rsidR="00C35991" w:rsidRPr="009F3831" w:rsidRDefault="00642789" w:rsidP="00140DFA">
      <w:pPr>
        <w:pStyle w:val="Lijstalinea"/>
        <w:numPr>
          <w:ilvl w:val="0"/>
          <w:numId w:val="23"/>
        </w:numPr>
        <w:jc w:val="both"/>
      </w:pPr>
      <w:r w:rsidRPr="009F3831">
        <w:lastRenderedPageBreak/>
        <w:t>En réponse aux modifications temporaires apportées au Régime pédagogique de l’éducation préscolaire, de l’enseignement primaire et de l’enseignement en lien avec l’évaluation des apprentissages et le calendrier scolaire, le Conseil a mis en valeur l’importance de l</w:t>
      </w:r>
      <w:r w:rsidR="00C35991" w:rsidRPr="009F3831">
        <w:t xml:space="preserve">a réussite éducative de tous les élèves </w:t>
      </w:r>
      <w:r w:rsidR="00AB4434" w:rsidRPr="009F3831">
        <w:t xml:space="preserve">et la nécessité </w:t>
      </w:r>
      <w:r w:rsidR="00C35991" w:rsidRPr="009F3831">
        <w:t>d’offrir aux acteurs du milieu scolaire le soutien et la souplesse nécessaires en vue d’offrir une réponse adaptée aux besoins non seulement scolaires, mais aussi émotionnels et sociaux des élèves.</w:t>
      </w:r>
      <w:r w:rsidR="00AB4434" w:rsidRPr="009F3831">
        <w:t xml:space="preserve"> </w:t>
      </w:r>
      <w:r w:rsidR="00904E71" w:rsidRPr="009F3831">
        <w:t>Le plan de la réussite présenté par le ministère de l’Éducation en vue de la rentrée scolaire s’inscrivait en continuité avec cette dernière dimension mis</w:t>
      </w:r>
      <w:r w:rsidR="00E934E0" w:rsidRPr="009F3831">
        <w:t>e</w:t>
      </w:r>
      <w:r w:rsidR="00904E71" w:rsidRPr="009F3831">
        <w:t xml:space="preserve"> en exergue par le Conseil</w:t>
      </w:r>
      <w:r w:rsidR="001A4C99" w:rsidRPr="009F3831">
        <w:t>. Elle</w:t>
      </w:r>
      <w:r w:rsidR="00904E71" w:rsidRPr="009F3831">
        <w:t xml:space="preserve"> s’est traduite par </w:t>
      </w:r>
      <w:r w:rsidR="00964CD5" w:rsidRPr="009F3831">
        <w:t>des</w:t>
      </w:r>
      <w:r w:rsidR="00904E71" w:rsidRPr="009F3831">
        <w:t xml:space="preserve"> investissement</w:t>
      </w:r>
      <w:r w:rsidR="00964CD5" w:rsidRPr="009F3831">
        <w:t>s en ce se</w:t>
      </w:r>
      <w:r w:rsidR="00140DFA" w:rsidRPr="009F3831">
        <w:t>n</w:t>
      </w:r>
      <w:r w:rsidR="00964CD5" w:rsidRPr="009F3831">
        <w:t>s</w:t>
      </w:r>
      <w:r w:rsidR="001A4C99" w:rsidRPr="009F3831">
        <w:t xml:space="preserve"> notamment dans le renforcement de la présence des intervenantes et des intervenants psychosociaux pour appuyer le personnel enseignant dans ses démarches d’encadrement des élèves</w:t>
      </w:r>
      <w:r w:rsidR="00DF6D51" w:rsidRPr="009F3831">
        <w:t xml:space="preserve"> tel que recommandé par le Conseil</w:t>
      </w:r>
      <w:r w:rsidR="00AF372A" w:rsidRPr="009F3831">
        <w:t xml:space="preserve"> dans cet avis</w:t>
      </w:r>
      <w:r w:rsidR="00964CD5" w:rsidRPr="009F3831">
        <w:t xml:space="preserve">. </w:t>
      </w:r>
      <w:r w:rsidR="00904E71" w:rsidRPr="009F3831">
        <w:t xml:space="preserve"> </w:t>
      </w:r>
    </w:p>
    <w:p w14:paraId="30C5AD57" w14:textId="77777777" w:rsidR="000534C2" w:rsidRPr="009F3831" w:rsidRDefault="000534C2" w:rsidP="000534C2">
      <w:pPr>
        <w:pStyle w:val="Lijstalinea"/>
        <w:jc w:val="both"/>
      </w:pPr>
    </w:p>
    <w:p w14:paraId="76162A66" w14:textId="01525F95" w:rsidR="00AF372A" w:rsidRPr="009F3831" w:rsidRDefault="001A4C99" w:rsidP="00A320BC">
      <w:pPr>
        <w:pStyle w:val="Lijstalinea"/>
        <w:numPr>
          <w:ilvl w:val="0"/>
          <w:numId w:val="23"/>
        </w:numPr>
        <w:jc w:val="both"/>
      </w:pPr>
      <w:r w:rsidRPr="009F3831">
        <w:t xml:space="preserve">En réponse aux </w:t>
      </w:r>
      <w:r w:rsidR="00F1534D" w:rsidRPr="009F3831">
        <w:rPr>
          <w:rFonts w:cs="Arial"/>
        </w:rPr>
        <w:t>modifications temporaires proposées pour le Régime pédagogique de la formation générale des adultes et le Régime pédagogique de la formation professionnelle</w:t>
      </w:r>
      <w:r w:rsidRPr="009F3831">
        <w:rPr>
          <w:rFonts w:cs="Arial"/>
        </w:rPr>
        <w:t>,</w:t>
      </w:r>
      <w:r w:rsidR="00AF372A" w:rsidRPr="009F3831">
        <w:rPr>
          <w:rFonts w:cs="Arial"/>
        </w:rPr>
        <w:t xml:space="preserve"> le Conseil recommandait notamment de mettre à la disposition des apprenants des ressources professionnelles nécessaires à leur réussite et à leur bien-être dans une approche bienveillante. Les différentes m</w:t>
      </w:r>
      <w:r w:rsidR="00AF372A" w:rsidRPr="009F3831">
        <w:t xml:space="preserve">esures visant à assurer la réussite des élèves mises en place pour la rentrée scolaire </w:t>
      </w:r>
      <w:r w:rsidR="006A1B3A" w:rsidRPr="009F3831">
        <w:t>présenté</w:t>
      </w:r>
      <w:r w:rsidR="00E934E0" w:rsidRPr="009F3831">
        <w:t>e</w:t>
      </w:r>
      <w:r w:rsidR="006A1B3A" w:rsidRPr="009F3831">
        <w:t xml:space="preserve"> préc</w:t>
      </w:r>
      <w:r w:rsidR="00E934E0" w:rsidRPr="009F3831">
        <w:t>é</w:t>
      </w:r>
      <w:r w:rsidR="006A1B3A" w:rsidRPr="009F3831">
        <w:t xml:space="preserve">demment rendent compte </w:t>
      </w:r>
      <w:r w:rsidR="007C5A48" w:rsidRPr="009F3831">
        <w:t>d</w:t>
      </w:r>
      <w:r w:rsidR="006A1B3A" w:rsidRPr="009F3831">
        <w:t xml:space="preserve">e cette recommandation. </w:t>
      </w:r>
    </w:p>
    <w:p w14:paraId="26486B02" w14:textId="77777777" w:rsidR="000534C2" w:rsidRPr="009F3831" w:rsidRDefault="000534C2" w:rsidP="000534C2">
      <w:pPr>
        <w:pStyle w:val="Lijstalinea"/>
      </w:pPr>
    </w:p>
    <w:p w14:paraId="0B201EA6" w14:textId="5E5FD8B2" w:rsidR="00D55DEE" w:rsidRPr="009F3831" w:rsidRDefault="008770BF" w:rsidP="005E29D8">
      <w:pPr>
        <w:pStyle w:val="Lijstalinea"/>
        <w:numPr>
          <w:ilvl w:val="0"/>
          <w:numId w:val="23"/>
        </w:numPr>
        <w:jc w:val="both"/>
      </w:pPr>
      <w:r w:rsidRPr="009F3831">
        <w:t xml:space="preserve"> En réponse au projet de modification temporaire du Règlement sur le régime des études collégiale</w:t>
      </w:r>
      <w:r w:rsidR="00E934E0" w:rsidRPr="009F3831">
        <w:t>s</w:t>
      </w:r>
      <w:r w:rsidRPr="009F3831">
        <w:t xml:space="preserve"> le Conseil </w:t>
      </w:r>
      <w:r w:rsidR="005E29D8" w:rsidRPr="009F3831">
        <w:rPr>
          <w:rFonts w:cs="Arial"/>
        </w:rPr>
        <w:t xml:space="preserve">qui visait à assurer la validité de la session d’hiver 2020 et à faire en sorte que le cheminement des étudiantes et des étudiants ne soit pas compromis, le Conseil </w:t>
      </w:r>
      <w:r w:rsidR="00444955" w:rsidRPr="009F3831">
        <w:t>reconnaissait que cette modification entérinait une situation existante</w:t>
      </w:r>
      <w:r w:rsidR="005E29D8" w:rsidRPr="009F3831">
        <w:t xml:space="preserve"> dans les collèges.</w:t>
      </w:r>
      <w:r w:rsidR="00444955" w:rsidRPr="009F3831">
        <w:t xml:space="preserve"> </w:t>
      </w:r>
      <w:r w:rsidR="005E29D8" w:rsidRPr="009F3831">
        <w:t>Il</w:t>
      </w:r>
      <w:r w:rsidR="00444955" w:rsidRPr="009F3831">
        <w:t xml:space="preserve"> </w:t>
      </w:r>
      <w:r w:rsidRPr="009F3831">
        <w:t>invitait le ministre à</w:t>
      </w:r>
      <w:r w:rsidR="00444955" w:rsidRPr="009F3831">
        <w:rPr>
          <w:lang w:val="fr-CA"/>
        </w:rPr>
        <w:t xml:space="preserve"> planifier la réouverture des établissements collégiaux à l’automne en prenant fait d’une série de recommandations spécifiques.</w:t>
      </w:r>
      <w:r w:rsidR="005E29D8" w:rsidRPr="009F3831">
        <w:rPr>
          <w:rFonts w:cs="Arial"/>
        </w:rPr>
        <w:t xml:space="preserve"> Le Conseil mentionnait notamment que les modes d’enseignement alternatifs utilisés dans le contexte de la pandémie plaçaient certains groupes vulnérables dans une situation encore plus à risque par rapport à la réussite, notamment les populations autochtone et inuite. </w:t>
      </w:r>
      <w:r w:rsidR="00736F22" w:rsidRPr="009F3831">
        <w:rPr>
          <w:rFonts w:cs="Arial"/>
        </w:rPr>
        <w:t>Certaines</w:t>
      </w:r>
      <w:r w:rsidR="005E29D8" w:rsidRPr="009F3831">
        <w:rPr>
          <w:rFonts w:cs="Arial"/>
        </w:rPr>
        <w:t xml:space="preserve"> mesures annoncées pour la rentrée 2020 par le gouvernement rendent compte de cette préoccupation. </w:t>
      </w:r>
    </w:p>
    <w:p w14:paraId="6CF12FDB" w14:textId="2355C41A" w:rsidR="004F011F" w:rsidRPr="009F3831" w:rsidRDefault="00AB6386" w:rsidP="004F011F">
      <w:pPr>
        <w:rPr>
          <w:rFonts w:cs="Arial"/>
          <w:b/>
        </w:rPr>
      </w:pPr>
      <w:r w:rsidRPr="009F3831">
        <w:rPr>
          <w:rFonts w:cs="Arial"/>
          <w:b/>
        </w:rPr>
        <w:t>Autres p</w:t>
      </w:r>
      <w:r w:rsidR="004F011F" w:rsidRPr="009F3831">
        <w:rPr>
          <w:rFonts w:cs="Arial"/>
          <w:b/>
        </w:rPr>
        <w:t xml:space="preserve">ublications du Conseil supérieur de l’éducation en réponse à la crise </w:t>
      </w:r>
      <w:r w:rsidR="0060664F" w:rsidRPr="009F3831">
        <w:rPr>
          <w:rFonts w:cs="Arial"/>
          <w:b/>
        </w:rPr>
        <w:t>sanitaire</w:t>
      </w:r>
      <w:r w:rsidR="004F011F" w:rsidRPr="009F3831">
        <w:rPr>
          <w:rFonts w:cs="Arial"/>
          <w:b/>
        </w:rPr>
        <w:t xml:space="preserve"> ou adaptée</w:t>
      </w:r>
      <w:r w:rsidR="0060664F" w:rsidRPr="009F3831">
        <w:rPr>
          <w:rFonts w:cs="Arial"/>
          <w:b/>
        </w:rPr>
        <w:t>s</w:t>
      </w:r>
      <w:r w:rsidR="004F011F" w:rsidRPr="009F3831">
        <w:rPr>
          <w:rFonts w:cs="Arial"/>
          <w:b/>
        </w:rPr>
        <w:t xml:space="preserve"> aux préoccupations des acteurs du milieu de l’éducation </w:t>
      </w:r>
    </w:p>
    <w:p w14:paraId="5343739B" w14:textId="5A68E8EA" w:rsidR="001E734B" w:rsidRPr="009F3831" w:rsidRDefault="008665E3" w:rsidP="00CC4C02">
      <w:pPr>
        <w:jc w:val="both"/>
      </w:pPr>
      <w:r w:rsidRPr="009F3831">
        <w:t xml:space="preserve">Mis à part les avis précédents, le </w:t>
      </w:r>
      <w:r w:rsidR="00847DD3" w:rsidRPr="009F3831">
        <w:t xml:space="preserve">Conseil a procédé à la mise en ligne hebdomadaire de </w:t>
      </w:r>
      <w:r w:rsidR="00847DD3" w:rsidRPr="009F3831">
        <w:rPr>
          <w:b/>
        </w:rPr>
        <w:t>capsules d’information</w:t>
      </w:r>
      <w:r w:rsidR="00847DD3" w:rsidRPr="009F3831">
        <w:t xml:space="preserve"> pour répondre aux besoins exprimés par </w:t>
      </w:r>
      <w:r w:rsidR="001E734B" w:rsidRPr="009F3831">
        <w:t xml:space="preserve">les décideurs, les acteurs du milieu de l’éducation, les parents ainsi que les élèves et les étudiants </w:t>
      </w:r>
      <w:r w:rsidR="00847DD3" w:rsidRPr="009F3831">
        <w:t>dans le contexte de la pandémie. Ces capsules se base</w:t>
      </w:r>
      <w:r w:rsidR="00E934E0" w:rsidRPr="009F3831">
        <w:t>nt</w:t>
      </w:r>
      <w:r w:rsidR="00847DD3" w:rsidRPr="009F3831">
        <w:t xml:space="preserve"> sur les avis</w:t>
      </w:r>
      <w:r w:rsidR="001E734B" w:rsidRPr="009F3831">
        <w:t xml:space="preserve"> antérieurs</w:t>
      </w:r>
      <w:r w:rsidR="00847DD3" w:rsidRPr="009F3831">
        <w:t xml:space="preserve"> du</w:t>
      </w:r>
      <w:r w:rsidR="00847DD3" w:rsidRPr="009F3831">
        <w:rPr>
          <w:lang w:val="fr-CA"/>
        </w:rPr>
        <w:t xml:space="preserve"> Conseil</w:t>
      </w:r>
      <w:r w:rsidR="00847DD3" w:rsidRPr="009F3831">
        <w:t xml:space="preserve"> </w:t>
      </w:r>
      <w:r w:rsidR="001E734B" w:rsidRPr="009F3831">
        <w:t>et ont été diffusé</w:t>
      </w:r>
      <w:r w:rsidR="00E934E0" w:rsidRPr="009F3831">
        <w:t>e</w:t>
      </w:r>
      <w:r w:rsidR="001E734B" w:rsidRPr="009F3831">
        <w:t xml:space="preserve">s sur les médias sociaux afin de </w:t>
      </w:r>
      <w:r w:rsidR="00444955" w:rsidRPr="009F3831">
        <w:t xml:space="preserve">répondre </w:t>
      </w:r>
      <w:r w:rsidR="001E734B" w:rsidRPr="009F3831">
        <w:t>rapidement aux besoins d’information et apporter des pistes de réflexion à certaines problématiques vécues.</w:t>
      </w:r>
      <w:r w:rsidRPr="009F3831">
        <w:t xml:space="preserve"> Les thématiques de ces capsules sont les suivantes :</w:t>
      </w:r>
    </w:p>
    <w:tbl>
      <w:tblPr>
        <w:tblStyle w:val="Tabelraster"/>
        <w:tblW w:w="5787" w:type="pct"/>
        <w:tblInd w:w="-572" w:type="dxa"/>
        <w:tblLook w:val="04A0" w:firstRow="1" w:lastRow="0" w:firstColumn="1" w:lastColumn="0" w:noHBand="0" w:noVBand="1"/>
      </w:tblPr>
      <w:tblGrid>
        <w:gridCol w:w="1701"/>
        <w:gridCol w:w="8787"/>
      </w:tblGrid>
      <w:tr w:rsidR="00C7157E" w:rsidRPr="009F3831" w14:paraId="0D30A869" w14:textId="77777777" w:rsidTr="009B57D8">
        <w:tc>
          <w:tcPr>
            <w:tcW w:w="811" w:type="pct"/>
            <w:shd w:val="clear" w:color="auto" w:fill="auto"/>
          </w:tcPr>
          <w:p w14:paraId="13563195" w14:textId="77777777" w:rsidR="00C7157E" w:rsidRPr="009F3831" w:rsidRDefault="00C7157E" w:rsidP="00A320BC">
            <w:pPr>
              <w:jc w:val="center"/>
            </w:pPr>
            <w:r w:rsidRPr="009F3831">
              <w:t>31 mars</w:t>
            </w:r>
          </w:p>
        </w:tc>
        <w:tc>
          <w:tcPr>
            <w:tcW w:w="4189" w:type="pct"/>
            <w:shd w:val="clear" w:color="auto" w:fill="auto"/>
          </w:tcPr>
          <w:p w14:paraId="6CB8EB88" w14:textId="564E77CB" w:rsidR="00C7157E" w:rsidRPr="009F3831" w:rsidRDefault="00C7157E" w:rsidP="00C7157E">
            <w:r w:rsidRPr="009F3831">
              <w:t xml:space="preserve">L’évaluation des apprentissages </w:t>
            </w:r>
          </w:p>
        </w:tc>
      </w:tr>
      <w:tr w:rsidR="00C7157E" w:rsidRPr="009F3831" w14:paraId="273095E0" w14:textId="77777777" w:rsidTr="009B57D8">
        <w:tc>
          <w:tcPr>
            <w:tcW w:w="811" w:type="pct"/>
            <w:shd w:val="clear" w:color="auto" w:fill="auto"/>
          </w:tcPr>
          <w:p w14:paraId="1EB97C1E" w14:textId="77777777" w:rsidR="00C7157E" w:rsidRPr="009F3831" w:rsidRDefault="00C7157E" w:rsidP="00A320BC">
            <w:pPr>
              <w:jc w:val="center"/>
            </w:pPr>
            <w:r w:rsidRPr="009F3831">
              <w:t>7 avril</w:t>
            </w:r>
          </w:p>
        </w:tc>
        <w:tc>
          <w:tcPr>
            <w:tcW w:w="4189" w:type="pct"/>
            <w:shd w:val="clear" w:color="auto" w:fill="auto"/>
          </w:tcPr>
          <w:p w14:paraId="15E5AD28" w14:textId="34D288C0" w:rsidR="00C7157E" w:rsidRPr="009F3831" w:rsidRDefault="00C7157E" w:rsidP="00C7157E">
            <w:r w:rsidRPr="009F3831">
              <w:t xml:space="preserve">Les populations étudiantes vulnérables </w:t>
            </w:r>
          </w:p>
        </w:tc>
      </w:tr>
      <w:tr w:rsidR="00C7157E" w:rsidRPr="009F3831" w14:paraId="793D95D5" w14:textId="77777777" w:rsidTr="009B57D8">
        <w:tc>
          <w:tcPr>
            <w:tcW w:w="811" w:type="pct"/>
            <w:shd w:val="clear" w:color="auto" w:fill="auto"/>
          </w:tcPr>
          <w:p w14:paraId="0DF26AA6" w14:textId="77777777" w:rsidR="00C7157E" w:rsidRPr="009F3831" w:rsidRDefault="00C7157E" w:rsidP="00A320BC">
            <w:pPr>
              <w:jc w:val="center"/>
            </w:pPr>
            <w:r w:rsidRPr="009F3831">
              <w:t>14 avril</w:t>
            </w:r>
          </w:p>
        </w:tc>
        <w:tc>
          <w:tcPr>
            <w:tcW w:w="4189" w:type="pct"/>
            <w:shd w:val="clear" w:color="auto" w:fill="auto"/>
          </w:tcPr>
          <w:p w14:paraId="0F98F00B" w14:textId="7108C574" w:rsidR="00C7157E" w:rsidRPr="009F3831" w:rsidRDefault="00C7157E" w:rsidP="00C7157E">
            <w:r w:rsidRPr="009F3831">
              <w:t>Formation à distance</w:t>
            </w:r>
          </w:p>
        </w:tc>
      </w:tr>
      <w:tr w:rsidR="00C7157E" w:rsidRPr="009F3831" w14:paraId="55727368" w14:textId="77777777" w:rsidTr="009B57D8">
        <w:tc>
          <w:tcPr>
            <w:tcW w:w="811" w:type="pct"/>
            <w:shd w:val="clear" w:color="auto" w:fill="auto"/>
          </w:tcPr>
          <w:p w14:paraId="4AAA034A" w14:textId="77777777" w:rsidR="00C7157E" w:rsidRPr="009F3831" w:rsidRDefault="00C7157E" w:rsidP="00A320BC">
            <w:pPr>
              <w:jc w:val="center"/>
            </w:pPr>
            <w:r w:rsidRPr="009F3831">
              <w:t>21 avril</w:t>
            </w:r>
          </w:p>
        </w:tc>
        <w:tc>
          <w:tcPr>
            <w:tcW w:w="4189" w:type="pct"/>
            <w:shd w:val="clear" w:color="auto" w:fill="auto"/>
          </w:tcPr>
          <w:p w14:paraId="62B5044A" w14:textId="5854C179" w:rsidR="00C7157E" w:rsidRPr="009F3831" w:rsidRDefault="00C7157E" w:rsidP="00C7157E">
            <w:r w:rsidRPr="009F3831">
              <w:t>Système d’éducation inéquitable</w:t>
            </w:r>
          </w:p>
        </w:tc>
      </w:tr>
      <w:tr w:rsidR="00C7157E" w:rsidRPr="009F3831" w14:paraId="4803DD0E" w14:textId="77777777" w:rsidTr="009B57D8">
        <w:tc>
          <w:tcPr>
            <w:tcW w:w="811" w:type="pct"/>
            <w:shd w:val="clear" w:color="auto" w:fill="auto"/>
          </w:tcPr>
          <w:p w14:paraId="22C24588" w14:textId="77777777" w:rsidR="00C7157E" w:rsidRPr="009F3831" w:rsidRDefault="00C7157E" w:rsidP="00A320BC">
            <w:pPr>
              <w:jc w:val="center"/>
            </w:pPr>
            <w:r w:rsidRPr="009F3831">
              <w:t>28 avril</w:t>
            </w:r>
          </w:p>
        </w:tc>
        <w:tc>
          <w:tcPr>
            <w:tcW w:w="4189" w:type="pct"/>
            <w:shd w:val="clear" w:color="auto" w:fill="auto"/>
          </w:tcPr>
          <w:p w14:paraId="170222F5" w14:textId="25327642" w:rsidR="00C7157E" w:rsidRPr="009F3831" w:rsidRDefault="00C7157E" w:rsidP="00C7157E">
            <w:r w:rsidRPr="009F3831">
              <w:t>Abandon scolaire</w:t>
            </w:r>
          </w:p>
        </w:tc>
      </w:tr>
      <w:tr w:rsidR="00C7157E" w:rsidRPr="009F3831" w14:paraId="1EE7EC83" w14:textId="77777777" w:rsidTr="009B57D8">
        <w:tc>
          <w:tcPr>
            <w:tcW w:w="811" w:type="pct"/>
            <w:shd w:val="clear" w:color="auto" w:fill="auto"/>
          </w:tcPr>
          <w:p w14:paraId="574449EF" w14:textId="77777777" w:rsidR="00C7157E" w:rsidRPr="009F3831" w:rsidRDefault="00C7157E" w:rsidP="00A320BC">
            <w:pPr>
              <w:jc w:val="center"/>
            </w:pPr>
            <w:r w:rsidRPr="009F3831">
              <w:t>5 mai</w:t>
            </w:r>
          </w:p>
        </w:tc>
        <w:tc>
          <w:tcPr>
            <w:tcW w:w="4189" w:type="pct"/>
            <w:shd w:val="clear" w:color="auto" w:fill="auto"/>
          </w:tcPr>
          <w:p w14:paraId="71D54C95" w14:textId="77777777" w:rsidR="00C7157E" w:rsidRPr="009F3831" w:rsidRDefault="00C7157E" w:rsidP="00C7157E">
            <w:r w:rsidRPr="009F3831">
              <w:t>Transition enseignement primaire, secondaire, collégial et université</w:t>
            </w:r>
          </w:p>
        </w:tc>
      </w:tr>
      <w:tr w:rsidR="00C7157E" w:rsidRPr="009F3831" w14:paraId="0E525AEC" w14:textId="77777777" w:rsidTr="009B57D8">
        <w:tc>
          <w:tcPr>
            <w:tcW w:w="811" w:type="pct"/>
            <w:shd w:val="clear" w:color="auto" w:fill="auto"/>
          </w:tcPr>
          <w:p w14:paraId="42692526" w14:textId="77777777" w:rsidR="00C7157E" w:rsidRPr="009F3831" w:rsidRDefault="00C7157E" w:rsidP="00A320BC">
            <w:pPr>
              <w:jc w:val="center"/>
            </w:pPr>
            <w:r w:rsidRPr="009F3831">
              <w:lastRenderedPageBreak/>
              <w:t>12 mai</w:t>
            </w:r>
          </w:p>
        </w:tc>
        <w:tc>
          <w:tcPr>
            <w:tcW w:w="4189" w:type="pct"/>
            <w:shd w:val="clear" w:color="auto" w:fill="auto"/>
          </w:tcPr>
          <w:p w14:paraId="56C2E830" w14:textId="77777777" w:rsidR="00C7157E" w:rsidRPr="009F3831" w:rsidRDefault="00C7157E" w:rsidP="00C7157E">
            <w:r w:rsidRPr="009F3831">
              <w:t>Le retour en classe dans le contexte de la COVID-19 : le rôle clé des compétences sociales et émotionnelles</w:t>
            </w:r>
          </w:p>
        </w:tc>
      </w:tr>
      <w:tr w:rsidR="00C7157E" w:rsidRPr="009F3831" w14:paraId="36C548AB" w14:textId="77777777" w:rsidTr="009B57D8">
        <w:tc>
          <w:tcPr>
            <w:tcW w:w="811" w:type="pct"/>
            <w:shd w:val="clear" w:color="auto" w:fill="auto"/>
          </w:tcPr>
          <w:p w14:paraId="0876CF47" w14:textId="77777777" w:rsidR="00C7157E" w:rsidRPr="009F3831" w:rsidRDefault="00C7157E" w:rsidP="00A320BC">
            <w:pPr>
              <w:jc w:val="center"/>
            </w:pPr>
            <w:r w:rsidRPr="009F3831">
              <w:t>19 mai</w:t>
            </w:r>
          </w:p>
        </w:tc>
        <w:tc>
          <w:tcPr>
            <w:tcW w:w="4189" w:type="pct"/>
            <w:shd w:val="clear" w:color="auto" w:fill="auto"/>
          </w:tcPr>
          <w:p w14:paraId="50FA8B78" w14:textId="4DAAFA15" w:rsidR="00C7157E" w:rsidRPr="009F3831" w:rsidRDefault="00C7157E" w:rsidP="00C7157E">
            <w:r w:rsidRPr="009F3831">
              <w:t>Représentations sociales du numérique</w:t>
            </w:r>
          </w:p>
        </w:tc>
      </w:tr>
      <w:tr w:rsidR="00C7157E" w:rsidRPr="009F3831" w14:paraId="57AE69EF" w14:textId="77777777" w:rsidTr="009B57D8">
        <w:tc>
          <w:tcPr>
            <w:tcW w:w="811" w:type="pct"/>
            <w:shd w:val="clear" w:color="auto" w:fill="auto"/>
          </w:tcPr>
          <w:p w14:paraId="4981AC4D" w14:textId="77777777" w:rsidR="00C7157E" w:rsidRPr="009F3831" w:rsidRDefault="00C7157E" w:rsidP="00A320BC">
            <w:pPr>
              <w:jc w:val="center"/>
            </w:pPr>
            <w:r w:rsidRPr="009F3831">
              <w:t>26 mai</w:t>
            </w:r>
          </w:p>
        </w:tc>
        <w:tc>
          <w:tcPr>
            <w:tcW w:w="4189" w:type="pct"/>
            <w:shd w:val="clear" w:color="auto" w:fill="auto"/>
          </w:tcPr>
          <w:p w14:paraId="0EBBDA32" w14:textId="77777777" w:rsidR="00C7157E" w:rsidRPr="009F3831" w:rsidRDefault="00C7157E" w:rsidP="00C7157E">
            <w:r w:rsidRPr="009F3831">
              <w:t>Cote R</w:t>
            </w:r>
          </w:p>
        </w:tc>
      </w:tr>
      <w:tr w:rsidR="00C7157E" w:rsidRPr="009F3831" w14:paraId="33114E96" w14:textId="77777777" w:rsidTr="009B57D8">
        <w:tc>
          <w:tcPr>
            <w:tcW w:w="811" w:type="pct"/>
            <w:shd w:val="clear" w:color="auto" w:fill="auto"/>
          </w:tcPr>
          <w:p w14:paraId="5922D163" w14:textId="77777777" w:rsidR="00C7157E" w:rsidRPr="009F3831" w:rsidRDefault="00C7157E" w:rsidP="00A320BC">
            <w:pPr>
              <w:jc w:val="center"/>
            </w:pPr>
            <w:r w:rsidRPr="009F3831">
              <w:t>2 juin</w:t>
            </w:r>
          </w:p>
        </w:tc>
        <w:tc>
          <w:tcPr>
            <w:tcW w:w="4189" w:type="pct"/>
            <w:shd w:val="clear" w:color="auto" w:fill="auto"/>
          </w:tcPr>
          <w:p w14:paraId="2FA39ED6" w14:textId="7AA35A87" w:rsidR="00C7157E" w:rsidRPr="009F3831" w:rsidRDefault="00C7157E" w:rsidP="00C7157E">
            <w:r w:rsidRPr="009F3831">
              <w:t>Accompagnement des parents aux devoirs</w:t>
            </w:r>
          </w:p>
        </w:tc>
      </w:tr>
      <w:tr w:rsidR="00C7157E" w:rsidRPr="009F3831" w14:paraId="1322B367" w14:textId="77777777" w:rsidTr="009B57D8">
        <w:tc>
          <w:tcPr>
            <w:tcW w:w="811" w:type="pct"/>
            <w:shd w:val="clear" w:color="auto" w:fill="auto"/>
          </w:tcPr>
          <w:p w14:paraId="3A0097F9" w14:textId="77777777" w:rsidR="00C7157E" w:rsidRPr="009F3831" w:rsidRDefault="00C7157E" w:rsidP="00A320BC">
            <w:pPr>
              <w:jc w:val="center"/>
            </w:pPr>
            <w:r w:rsidRPr="009F3831">
              <w:t>9 juin</w:t>
            </w:r>
          </w:p>
        </w:tc>
        <w:tc>
          <w:tcPr>
            <w:tcW w:w="4189" w:type="pct"/>
            <w:shd w:val="clear" w:color="auto" w:fill="auto"/>
          </w:tcPr>
          <w:p w14:paraId="43D3103C" w14:textId="3E85FC3A" w:rsidR="00C7157E" w:rsidRPr="009F3831" w:rsidRDefault="00C7157E" w:rsidP="003067C5">
            <w:r w:rsidRPr="009F3831">
              <w:t>Lancement d’un avis sur le Bien-être des élèves</w:t>
            </w:r>
            <w:r w:rsidR="003067C5" w:rsidRPr="009F3831">
              <w:t xml:space="preserve"> et d’un document complémentaire présentant des facteurs de risque et de protection relativement au bien-être de l’enfant à l’école </w:t>
            </w:r>
          </w:p>
        </w:tc>
      </w:tr>
      <w:tr w:rsidR="00C7157E" w:rsidRPr="009F3831" w14:paraId="1DF8099F" w14:textId="77777777" w:rsidTr="009B57D8">
        <w:tc>
          <w:tcPr>
            <w:tcW w:w="811" w:type="pct"/>
            <w:shd w:val="clear" w:color="auto" w:fill="auto"/>
          </w:tcPr>
          <w:p w14:paraId="35493595" w14:textId="77777777" w:rsidR="00C7157E" w:rsidRPr="009F3831" w:rsidRDefault="00C7157E" w:rsidP="00A320BC">
            <w:pPr>
              <w:jc w:val="center"/>
            </w:pPr>
            <w:r w:rsidRPr="009F3831">
              <w:t>16 juin</w:t>
            </w:r>
          </w:p>
        </w:tc>
        <w:tc>
          <w:tcPr>
            <w:tcW w:w="4189" w:type="pct"/>
            <w:shd w:val="clear" w:color="auto" w:fill="auto"/>
          </w:tcPr>
          <w:p w14:paraId="549973B0" w14:textId="64EF709C" w:rsidR="00C7157E" w:rsidRPr="009F3831" w:rsidRDefault="00C7157E" w:rsidP="00C7157E">
            <w:r w:rsidRPr="009F3831">
              <w:t xml:space="preserve">Formation générale des adultes vs formation générale des jeunes </w:t>
            </w:r>
          </w:p>
        </w:tc>
      </w:tr>
      <w:tr w:rsidR="00C7157E" w:rsidRPr="009F3831" w14:paraId="29D2AF6A" w14:textId="77777777" w:rsidTr="009B57D8">
        <w:tc>
          <w:tcPr>
            <w:tcW w:w="811" w:type="pct"/>
            <w:shd w:val="clear" w:color="auto" w:fill="auto"/>
          </w:tcPr>
          <w:p w14:paraId="4F95D4B4" w14:textId="77777777" w:rsidR="00C7157E" w:rsidRPr="009F3831" w:rsidRDefault="00C7157E" w:rsidP="00A320BC">
            <w:pPr>
              <w:jc w:val="center"/>
            </w:pPr>
            <w:r w:rsidRPr="009F3831">
              <w:t>23 juin</w:t>
            </w:r>
          </w:p>
        </w:tc>
        <w:tc>
          <w:tcPr>
            <w:tcW w:w="4189" w:type="pct"/>
            <w:shd w:val="clear" w:color="auto" w:fill="auto"/>
          </w:tcPr>
          <w:p w14:paraId="420DE338" w14:textId="77777777" w:rsidR="00C7157E" w:rsidRPr="009F3831" w:rsidRDefault="00C7157E" w:rsidP="00C7157E">
            <w:r w:rsidRPr="009F3831">
              <w:t>L’impact de la COVID sur les étudiantes et étudiants internationaux</w:t>
            </w:r>
          </w:p>
        </w:tc>
      </w:tr>
      <w:tr w:rsidR="00C7157E" w:rsidRPr="009F3831" w14:paraId="50A05DE8" w14:textId="77777777" w:rsidTr="009B57D8">
        <w:tc>
          <w:tcPr>
            <w:tcW w:w="811" w:type="pct"/>
            <w:shd w:val="clear" w:color="auto" w:fill="auto"/>
          </w:tcPr>
          <w:p w14:paraId="12A047B5" w14:textId="77777777" w:rsidR="00C7157E" w:rsidRPr="009F3831" w:rsidRDefault="00C7157E" w:rsidP="00A320BC">
            <w:pPr>
              <w:jc w:val="center"/>
            </w:pPr>
            <w:r w:rsidRPr="009F3831">
              <w:t>30 juin</w:t>
            </w:r>
          </w:p>
        </w:tc>
        <w:tc>
          <w:tcPr>
            <w:tcW w:w="4189" w:type="pct"/>
            <w:shd w:val="clear" w:color="auto" w:fill="auto"/>
          </w:tcPr>
          <w:p w14:paraId="29EBA832" w14:textId="77777777" w:rsidR="00C7157E" w:rsidRPr="009F3831" w:rsidRDefault="00C7157E" w:rsidP="00C7157E">
            <w:r w:rsidRPr="009F3831">
              <w:t>Le bien-être des enfants à l’école en contexte de COVID-19 : gestion des comportements et règles de vie</w:t>
            </w:r>
          </w:p>
        </w:tc>
      </w:tr>
      <w:tr w:rsidR="00C7157E" w:rsidRPr="009F3831" w14:paraId="04CA1DF2" w14:textId="77777777" w:rsidTr="009B57D8">
        <w:tc>
          <w:tcPr>
            <w:tcW w:w="811" w:type="pct"/>
            <w:shd w:val="clear" w:color="auto" w:fill="auto"/>
          </w:tcPr>
          <w:p w14:paraId="333F5BA8" w14:textId="77777777" w:rsidR="00C7157E" w:rsidRPr="009F3831" w:rsidRDefault="00C7157E" w:rsidP="00A320BC">
            <w:pPr>
              <w:jc w:val="center"/>
            </w:pPr>
            <w:r w:rsidRPr="009F3831">
              <w:t>7 juillet</w:t>
            </w:r>
          </w:p>
        </w:tc>
        <w:tc>
          <w:tcPr>
            <w:tcW w:w="4189" w:type="pct"/>
            <w:shd w:val="clear" w:color="auto" w:fill="auto"/>
          </w:tcPr>
          <w:p w14:paraId="20AC15B9" w14:textId="77777777" w:rsidR="00C7157E" w:rsidRPr="009F3831" w:rsidRDefault="00C7157E" w:rsidP="00C7157E">
            <w:r w:rsidRPr="009F3831">
              <w:t>L’impact de la COVID-19 sur les stages universitaires</w:t>
            </w:r>
          </w:p>
        </w:tc>
      </w:tr>
      <w:tr w:rsidR="00C7157E" w:rsidRPr="009F3831" w14:paraId="0FBD3406" w14:textId="77777777" w:rsidTr="009B57D8">
        <w:tc>
          <w:tcPr>
            <w:tcW w:w="811" w:type="pct"/>
          </w:tcPr>
          <w:p w14:paraId="58EB882E" w14:textId="77777777" w:rsidR="00C7157E" w:rsidRPr="009F3831" w:rsidRDefault="00C7157E" w:rsidP="00A320BC">
            <w:pPr>
              <w:jc w:val="center"/>
            </w:pPr>
            <w:r w:rsidRPr="009F3831">
              <w:t>14 juillet</w:t>
            </w:r>
          </w:p>
        </w:tc>
        <w:tc>
          <w:tcPr>
            <w:tcW w:w="4189" w:type="pct"/>
          </w:tcPr>
          <w:p w14:paraId="5ED4408C" w14:textId="77777777" w:rsidR="00C7157E" w:rsidRPr="009F3831" w:rsidRDefault="00C7157E" w:rsidP="00C7157E">
            <w:r w:rsidRPr="009F3831">
              <w:t>L’importance de la littératie numérique des adultes en formation générale et en francisation durant la pandémie de la COVID-19</w:t>
            </w:r>
          </w:p>
        </w:tc>
      </w:tr>
      <w:tr w:rsidR="00C7157E" w:rsidRPr="009F3831" w14:paraId="332E6FDB" w14:textId="77777777" w:rsidTr="009B57D8">
        <w:tc>
          <w:tcPr>
            <w:tcW w:w="811" w:type="pct"/>
          </w:tcPr>
          <w:p w14:paraId="688172A4" w14:textId="77777777" w:rsidR="00C7157E" w:rsidRPr="009F3831" w:rsidRDefault="00C7157E" w:rsidP="00A320BC">
            <w:pPr>
              <w:jc w:val="center"/>
            </w:pPr>
            <w:r w:rsidRPr="009F3831">
              <w:t>21 juillet</w:t>
            </w:r>
          </w:p>
        </w:tc>
        <w:tc>
          <w:tcPr>
            <w:tcW w:w="4189" w:type="pct"/>
          </w:tcPr>
          <w:p w14:paraId="4917DAB7" w14:textId="6B7E75F3" w:rsidR="00C7157E" w:rsidRPr="009F3831" w:rsidRDefault="00C7157E" w:rsidP="00C7157E">
            <w:r w:rsidRPr="009F3831">
              <w:t>Publication d’un avis sur le cheminement rapide dans les études universitaires</w:t>
            </w:r>
          </w:p>
        </w:tc>
      </w:tr>
      <w:tr w:rsidR="00C7157E" w:rsidRPr="009F3831" w14:paraId="32FC3E4A" w14:textId="77777777" w:rsidTr="009B57D8">
        <w:tc>
          <w:tcPr>
            <w:tcW w:w="811" w:type="pct"/>
          </w:tcPr>
          <w:p w14:paraId="1785E214" w14:textId="77777777" w:rsidR="00C7157E" w:rsidRPr="009F3831" w:rsidRDefault="00C7157E" w:rsidP="00A320BC">
            <w:pPr>
              <w:jc w:val="center"/>
            </w:pPr>
            <w:r w:rsidRPr="009F3831">
              <w:t>28 juillet</w:t>
            </w:r>
          </w:p>
        </w:tc>
        <w:tc>
          <w:tcPr>
            <w:tcW w:w="4189" w:type="pct"/>
          </w:tcPr>
          <w:p w14:paraId="063ED19E" w14:textId="19F89E4F" w:rsidR="00C7157E" w:rsidRPr="009F3831" w:rsidRDefault="00C7157E" w:rsidP="00C7157E">
            <w:r w:rsidRPr="009F3831">
              <w:t>Le bien-être sous l'angle de la santé mentale des jeunes (détresse, stress, anxiété) et de l'importance d'avoir accès aux ressources psychosociales en temps opportun</w:t>
            </w:r>
          </w:p>
        </w:tc>
      </w:tr>
      <w:tr w:rsidR="00C7157E" w:rsidRPr="009F3831" w14:paraId="739096CC" w14:textId="77777777" w:rsidTr="009B57D8">
        <w:tc>
          <w:tcPr>
            <w:tcW w:w="811" w:type="pct"/>
          </w:tcPr>
          <w:p w14:paraId="11EE76F3" w14:textId="77777777" w:rsidR="00C7157E" w:rsidRPr="009F3831" w:rsidRDefault="00C7157E" w:rsidP="00A320BC">
            <w:pPr>
              <w:jc w:val="center"/>
            </w:pPr>
            <w:r w:rsidRPr="009F3831">
              <w:t>4 août</w:t>
            </w:r>
          </w:p>
        </w:tc>
        <w:tc>
          <w:tcPr>
            <w:tcW w:w="4189" w:type="pct"/>
          </w:tcPr>
          <w:p w14:paraId="0456087F" w14:textId="0C9F2378" w:rsidR="00C7157E" w:rsidRPr="009F3831" w:rsidRDefault="00C7157E" w:rsidP="00C7157E">
            <w:r w:rsidRPr="009F3831">
              <w:t>Taux d’abandon des études au 2e et 3e cycle en enseignement supérieur</w:t>
            </w:r>
          </w:p>
        </w:tc>
      </w:tr>
      <w:tr w:rsidR="00C7157E" w:rsidRPr="009F3831" w14:paraId="1A4362DE" w14:textId="77777777" w:rsidTr="009B57D8">
        <w:tc>
          <w:tcPr>
            <w:tcW w:w="811" w:type="pct"/>
          </w:tcPr>
          <w:p w14:paraId="0CF605D3" w14:textId="77777777" w:rsidR="00C7157E" w:rsidRPr="009F3831" w:rsidRDefault="00C7157E" w:rsidP="00A320BC">
            <w:pPr>
              <w:jc w:val="center"/>
            </w:pPr>
            <w:r w:rsidRPr="009F3831">
              <w:t>11 août</w:t>
            </w:r>
          </w:p>
        </w:tc>
        <w:tc>
          <w:tcPr>
            <w:tcW w:w="4189" w:type="pct"/>
          </w:tcPr>
          <w:p w14:paraId="554A30EA" w14:textId="439BBAB3" w:rsidR="00C7157E" w:rsidRPr="009F3831" w:rsidRDefault="00C7157E" w:rsidP="00C7157E">
            <w:r w:rsidRPr="009F3831">
              <w:t xml:space="preserve">Capsule sur la gestion de classe </w:t>
            </w:r>
          </w:p>
        </w:tc>
      </w:tr>
      <w:tr w:rsidR="00C7157E" w:rsidRPr="009F3831" w14:paraId="66380F88" w14:textId="77777777" w:rsidTr="009B57D8">
        <w:tc>
          <w:tcPr>
            <w:tcW w:w="811" w:type="pct"/>
          </w:tcPr>
          <w:p w14:paraId="26349AAB" w14:textId="77777777" w:rsidR="00C7157E" w:rsidRPr="009F3831" w:rsidRDefault="00C7157E" w:rsidP="00A320BC">
            <w:pPr>
              <w:jc w:val="center"/>
            </w:pPr>
            <w:r w:rsidRPr="009F3831">
              <w:t>18 août</w:t>
            </w:r>
          </w:p>
        </w:tc>
        <w:tc>
          <w:tcPr>
            <w:tcW w:w="4189" w:type="pct"/>
          </w:tcPr>
          <w:p w14:paraId="4B1E588E" w14:textId="77777777" w:rsidR="00C7157E" w:rsidRPr="009F3831" w:rsidRDefault="00C7157E" w:rsidP="00C7157E">
            <w:r w:rsidRPr="009F3831">
              <w:t>Importance d’une communauté d’apprentissage, les bienfaits de la COVID-19</w:t>
            </w:r>
          </w:p>
        </w:tc>
      </w:tr>
      <w:tr w:rsidR="00C7157E" w:rsidRPr="009F3831" w14:paraId="06A087F8" w14:textId="77777777" w:rsidTr="009B57D8">
        <w:tc>
          <w:tcPr>
            <w:tcW w:w="811" w:type="pct"/>
          </w:tcPr>
          <w:p w14:paraId="0FB8CD58" w14:textId="77777777" w:rsidR="00C7157E" w:rsidRPr="009F3831" w:rsidRDefault="00C7157E" w:rsidP="00A320BC">
            <w:pPr>
              <w:jc w:val="center"/>
            </w:pPr>
            <w:r w:rsidRPr="009F3831">
              <w:t>25 août</w:t>
            </w:r>
          </w:p>
        </w:tc>
        <w:tc>
          <w:tcPr>
            <w:tcW w:w="4189" w:type="pct"/>
          </w:tcPr>
          <w:p w14:paraId="3FAA62E3" w14:textId="60BE25A3" w:rsidR="00C7157E" w:rsidRPr="009F3831" w:rsidRDefault="00C7157E" w:rsidP="00C7157E">
            <w:r w:rsidRPr="009F3831">
              <w:t xml:space="preserve">Insertion professionnelle – Besoin d’accompagnement </w:t>
            </w:r>
          </w:p>
        </w:tc>
      </w:tr>
      <w:tr w:rsidR="00C7157E" w:rsidRPr="009F3831" w14:paraId="56E3FF80" w14:textId="77777777" w:rsidTr="009B57D8">
        <w:tc>
          <w:tcPr>
            <w:tcW w:w="811" w:type="pct"/>
          </w:tcPr>
          <w:p w14:paraId="578CDEFA" w14:textId="77777777" w:rsidR="00C7157E" w:rsidRPr="009F3831" w:rsidRDefault="00C7157E" w:rsidP="00A320BC">
            <w:pPr>
              <w:jc w:val="center"/>
            </w:pPr>
            <w:r w:rsidRPr="009F3831">
              <w:t>1</w:t>
            </w:r>
            <w:r w:rsidRPr="009F3831">
              <w:rPr>
                <w:vertAlign w:val="superscript"/>
              </w:rPr>
              <w:t>er</w:t>
            </w:r>
            <w:r w:rsidRPr="009F3831">
              <w:t xml:space="preserve"> septembre</w:t>
            </w:r>
          </w:p>
        </w:tc>
        <w:tc>
          <w:tcPr>
            <w:tcW w:w="4189" w:type="pct"/>
          </w:tcPr>
          <w:p w14:paraId="52530B44" w14:textId="77777777" w:rsidR="00C7157E" w:rsidRPr="009F3831" w:rsidRDefault="00C7157E" w:rsidP="00C7157E">
            <w:r w:rsidRPr="009F3831">
              <w:t>Temps d’écran</w:t>
            </w:r>
          </w:p>
        </w:tc>
      </w:tr>
    </w:tbl>
    <w:p w14:paraId="3317AED0" w14:textId="1FDAC1CD" w:rsidR="003067C5" w:rsidRPr="009F3831" w:rsidRDefault="004F011F" w:rsidP="00A121FD">
      <w:pPr>
        <w:jc w:val="both"/>
        <w:rPr>
          <w:rFonts w:cs="Arial"/>
        </w:rPr>
      </w:pPr>
      <w:r w:rsidRPr="009F3831">
        <w:rPr>
          <w:rFonts w:cs="Arial"/>
        </w:rPr>
        <w:t>Adapté au</w:t>
      </w:r>
      <w:r w:rsidR="003067C5" w:rsidRPr="009F3831">
        <w:rPr>
          <w:rFonts w:cs="Arial"/>
        </w:rPr>
        <w:t xml:space="preserve"> contexte de la pandémie</w:t>
      </w:r>
      <w:r w:rsidR="00736F22" w:rsidRPr="009F3831">
        <w:rPr>
          <w:rFonts w:cs="Arial"/>
        </w:rPr>
        <w:t xml:space="preserve"> ou en réponse à certaines pr</w:t>
      </w:r>
      <w:r w:rsidR="005727B4" w:rsidRPr="009F3831">
        <w:rPr>
          <w:rFonts w:cs="Arial"/>
        </w:rPr>
        <w:t>é</w:t>
      </w:r>
      <w:r w:rsidR="00736F22" w:rsidRPr="009F3831">
        <w:rPr>
          <w:rFonts w:cs="Arial"/>
        </w:rPr>
        <w:t>occupat</w:t>
      </w:r>
      <w:r w:rsidR="005727B4" w:rsidRPr="009F3831">
        <w:rPr>
          <w:rFonts w:cs="Arial"/>
        </w:rPr>
        <w:t>ions</w:t>
      </w:r>
      <w:r w:rsidR="00736F22" w:rsidRPr="009F3831">
        <w:rPr>
          <w:rFonts w:cs="Arial"/>
        </w:rPr>
        <w:t xml:space="preserve"> qui en découlent</w:t>
      </w:r>
      <w:r w:rsidR="003067C5" w:rsidRPr="009F3831">
        <w:rPr>
          <w:rFonts w:cs="Arial"/>
        </w:rPr>
        <w:t xml:space="preserve">, le Conseil a rendu publique </w:t>
      </w:r>
      <w:r w:rsidR="003067C5" w:rsidRPr="009F3831">
        <w:rPr>
          <w:rFonts w:cs="Arial"/>
          <w:b/>
        </w:rPr>
        <w:t>4 document</w:t>
      </w:r>
      <w:r w:rsidR="00AB6386" w:rsidRPr="009F3831">
        <w:rPr>
          <w:rFonts w:cs="Arial"/>
          <w:b/>
        </w:rPr>
        <w:t>s</w:t>
      </w:r>
      <w:r w:rsidR="003067C5" w:rsidRPr="009F3831">
        <w:rPr>
          <w:rFonts w:cs="Arial"/>
        </w:rPr>
        <w:t xml:space="preserve"> </w:t>
      </w:r>
      <w:r w:rsidR="00736F22" w:rsidRPr="009F3831">
        <w:rPr>
          <w:rFonts w:cs="Arial"/>
        </w:rPr>
        <w:t xml:space="preserve">d’études et de recherches. Ces derniers sont </w:t>
      </w:r>
      <w:r w:rsidR="00662272" w:rsidRPr="009F3831">
        <w:rPr>
          <w:rFonts w:cs="Arial"/>
        </w:rPr>
        <w:t>lié</w:t>
      </w:r>
      <w:r w:rsidR="00AB6386" w:rsidRPr="009F3831">
        <w:rPr>
          <w:rFonts w:cs="Arial"/>
        </w:rPr>
        <w:t>s</w:t>
      </w:r>
      <w:r w:rsidR="00662272" w:rsidRPr="009F3831">
        <w:rPr>
          <w:rFonts w:cs="Arial"/>
        </w:rPr>
        <w:t xml:space="preserve"> à la préparation des avis ou des rapports produit</w:t>
      </w:r>
      <w:r w:rsidR="0060664F" w:rsidRPr="009F3831">
        <w:rPr>
          <w:rFonts w:cs="Arial"/>
        </w:rPr>
        <w:t>s</w:t>
      </w:r>
      <w:r w:rsidR="00662272" w:rsidRPr="009F3831">
        <w:rPr>
          <w:rFonts w:cs="Arial"/>
        </w:rPr>
        <w:t xml:space="preserve"> </w:t>
      </w:r>
      <w:r w:rsidR="00736F22" w:rsidRPr="009F3831">
        <w:rPr>
          <w:rFonts w:cs="Arial"/>
        </w:rPr>
        <w:t xml:space="preserve">par le Conseil </w:t>
      </w:r>
      <w:r w:rsidR="005727B4" w:rsidRPr="009F3831">
        <w:rPr>
          <w:rFonts w:cs="Arial"/>
        </w:rPr>
        <w:t xml:space="preserve">dont </w:t>
      </w:r>
      <w:r w:rsidR="003067C5" w:rsidRPr="009F3831">
        <w:rPr>
          <w:rFonts w:cs="Arial"/>
        </w:rPr>
        <w:t>la richesse et l’utilité potentielle des renseignements colligés justifient</w:t>
      </w:r>
      <w:r w:rsidR="00736F22" w:rsidRPr="009F3831">
        <w:rPr>
          <w:rFonts w:cs="Arial"/>
        </w:rPr>
        <w:t xml:space="preserve"> leur publication</w:t>
      </w:r>
      <w:r w:rsidR="003067C5" w:rsidRPr="009F3831">
        <w:rPr>
          <w:rFonts w:cs="Arial"/>
        </w:rPr>
        <w:t>.</w:t>
      </w:r>
    </w:p>
    <w:p w14:paraId="734DB24D" w14:textId="26498B59" w:rsidR="00662272" w:rsidRPr="009F3831" w:rsidRDefault="00C868C9" w:rsidP="00A121FD">
      <w:pPr>
        <w:pStyle w:val="Lijstalinea"/>
        <w:numPr>
          <w:ilvl w:val="0"/>
          <w:numId w:val="24"/>
        </w:numPr>
        <w:jc w:val="both"/>
        <w:rPr>
          <w:rFonts w:cs="Arial"/>
        </w:rPr>
      </w:pPr>
      <w:r w:rsidRPr="009F3831">
        <w:rPr>
          <w:rFonts w:cs="Segoe UI"/>
          <w:color w:val="050505"/>
          <w:shd w:val="clear" w:color="auto" w:fill="FFFFFF"/>
        </w:rPr>
        <w:t xml:space="preserve">La période de confinement, l’école à distance et l’accès restreint aux activités extérieures ont rendu les appareils technologiques incontournables, augmentant les craintes déjà bien présentes des parents concernant leur usage, dont celle reliée au temps passé devant </w:t>
      </w:r>
      <w:r w:rsidR="005727B4" w:rsidRPr="009F3831">
        <w:rPr>
          <w:rFonts w:cs="Segoe UI"/>
          <w:color w:val="050505"/>
          <w:shd w:val="clear" w:color="auto" w:fill="FFFFFF"/>
        </w:rPr>
        <w:t>les écrans</w:t>
      </w:r>
      <w:r w:rsidRPr="009F3831">
        <w:rPr>
          <w:rFonts w:cs="Segoe UI"/>
          <w:color w:val="050505"/>
          <w:shd w:val="clear" w:color="auto" w:fill="FFFFFF"/>
        </w:rPr>
        <w:t>. Le Conseil a</w:t>
      </w:r>
      <w:r w:rsidR="00662272" w:rsidRPr="009F3831">
        <w:rPr>
          <w:rFonts w:cs="Segoe UI"/>
          <w:color w:val="050505"/>
          <w:shd w:val="clear" w:color="auto" w:fill="FFFFFF"/>
        </w:rPr>
        <w:t xml:space="preserve"> ainsi publié</w:t>
      </w:r>
      <w:r w:rsidRPr="009F3831">
        <w:rPr>
          <w:rFonts w:cs="Segoe UI"/>
          <w:color w:val="050505"/>
          <w:shd w:val="clear" w:color="auto" w:fill="FFFFFF"/>
        </w:rPr>
        <w:t xml:space="preserve"> un document intitulé </w:t>
      </w:r>
      <w:r w:rsidRPr="009F3831">
        <w:rPr>
          <w:rFonts w:cs="Segoe UI"/>
          <w:i/>
          <w:color w:val="050505"/>
          <w:shd w:val="clear" w:color="auto" w:fill="FFFFFF"/>
        </w:rPr>
        <w:t>Les discours sur le temps d’écran : valeurs sociales et études scientifiques</w:t>
      </w:r>
      <w:r w:rsidR="00524F79" w:rsidRPr="009F3831">
        <w:rPr>
          <w:rFonts w:cs="Segoe UI"/>
          <w:color w:val="050505"/>
          <w:shd w:val="clear" w:color="auto" w:fill="FFFFFF"/>
        </w:rPr>
        <w:t xml:space="preserve">. Ce texte </w:t>
      </w:r>
      <w:r w:rsidRPr="009F3831">
        <w:rPr>
          <w:rFonts w:cs="Segoe UI"/>
          <w:color w:val="050505"/>
          <w:shd w:val="clear" w:color="auto" w:fill="FFFFFF"/>
        </w:rPr>
        <w:t>résume les résultats récents de la recherche scientifique sur cette question avec un aperçu du contexte social et historique autour de celle-ci. Le Conseil y rappelle que les écrans représentent un outil d’apprentissage et de divertissement dont peuvent bénéficier les enfants et les jeunes, à condition de les utiliser avec discernement et de ne pas en abuser.</w:t>
      </w:r>
    </w:p>
    <w:p w14:paraId="66700461" w14:textId="77777777" w:rsidR="00CC4C02" w:rsidRPr="009F3831" w:rsidRDefault="00CC4C02" w:rsidP="00A121FD">
      <w:pPr>
        <w:pStyle w:val="Lijstalinea"/>
        <w:jc w:val="both"/>
        <w:rPr>
          <w:rFonts w:cs="Arial"/>
        </w:rPr>
      </w:pPr>
    </w:p>
    <w:p w14:paraId="1CB46389" w14:textId="23BE674C" w:rsidR="006E2D90" w:rsidRPr="009F3831" w:rsidRDefault="000209CA" w:rsidP="00CC4C02">
      <w:pPr>
        <w:pStyle w:val="Lijstalinea"/>
        <w:numPr>
          <w:ilvl w:val="0"/>
          <w:numId w:val="24"/>
        </w:numPr>
        <w:jc w:val="both"/>
        <w:rPr>
          <w:lang w:eastAsia="fr-CA"/>
        </w:rPr>
      </w:pPr>
      <w:r w:rsidRPr="009F3831">
        <w:rPr>
          <w:rFonts w:cs="Times New Roman"/>
        </w:rPr>
        <w:t xml:space="preserve">Avant même la pandémie, le Conseil se préoccupait du bien-être des enfants à l’école et constatait la détresse psychologique que vivent un certain nombre d’entre eux. </w:t>
      </w:r>
      <w:r w:rsidR="004F011F" w:rsidRPr="009F3831">
        <w:rPr>
          <w:rFonts w:cs="Times New Roman"/>
        </w:rPr>
        <w:t>Dans cette optique, l’avis intitulé</w:t>
      </w:r>
      <w:r w:rsidR="004F011F" w:rsidRPr="009F3831">
        <w:rPr>
          <w:rFonts w:cs="Arial"/>
        </w:rPr>
        <w:t xml:space="preserve"> </w:t>
      </w:r>
      <w:r w:rsidR="004F011F" w:rsidRPr="009F3831">
        <w:rPr>
          <w:rFonts w:cs="Arial"/>
          <w:i/>
        </w:rPr>
        <w:t>Le bien-être de l’enfant à l’école: faisons nos devoirs</w:t>
      </w:r>
      <w:r w:rsidR="005727B4" w:rsidRPr="009F3831">
        <w:rPr>
          <w:rFonts w:cs="Times New Roman"/>
          <w:i/>
        </w:rPr>
        <w:t>,</w:t>
      </w:r>
      <w:r w:rsidR="00F03F98" w:rsidRPr="009F3831">
        <w:rPr>
          <w:rFonts w:cs="Times New Roman"/>
        </w:rPr>
        <w:t xml:space="preserve">formulait </w:t>
      </w:r>
      <w:r w:rsidR="005727B4" w:rsidRPr="009F3831">
        <w:rPr>
          <w:rFonts w:cs="Times New Roman"/>
        </w:rPr>
        <w:t>dix-huit</w:t>
      </w:r>
      <w:r w:rsidR="00F03F98" w:rsidRPr="009F3831">
        <w:rPr>
          <w:rFonts w:cs="Times New Roman"/>
        </w:rPr>
        <w:t xml:space="preserve"> recommandations </w:t>
      </w:r>
      <w:r w:rsidR="005727B4" w:rsidRPr="009F3831">
        <w:rPr>
          <w:rFonts w:cs="Times New Roman"/>
        </w:rPr>
        <w:t xml:space="preserve">dont une destinée aux enfants. </w:t>
      </w:r>
      <w:r w:rsidR="00690067" w:rsidRPr="009F3831">
        <w:rPr>
          <w:rFonts w:cs="Times New Roman"/>
        </w:rPr>
        <w:t>En réponse aux</w:t>
      </w:r>
      <w:r w:rsidR="005727B4" w:rsidRPr="009F3831">
        <w:rPr>
          <w:rFonts w:cs="Times New Roman"/>
        </w:rPr>
        <w:t xml:space="preserve"> préoccupations soulevées dans l’avis, certaines</w:t>
      </w:r>
      <w:r w:rsidR="00F03F98" w:rsidRPr="009F3831">
        <w:rPr>
          <w:rFonts w:cs="Times New Roman"/>
          <w:i/>
        </w:rPr>
        <w:t xml:space="preserve"> </w:t>
      </w:r>
      <w:r w:rsidR="00F03F98" w:rsidRPr="009F3831">
        <w:rPr>
          <w:rFonts w:cs="Segoe UI"/>
          <w:color w:val="050505"/>
          <w:shd w:val="clear" w:color="auto" w:fill="FFFFFF"/>
        </w:rPr>
        <w:t xml:space="preserve">mesures </w:t>
      </w:r>
      <w:r w:rsidR="005727B4" w:rsidRPr="009F3831">
        <w:rPr>
          <w:rFonts w:cs="Segoe UI"/>
          <w:color w:val="050505"/>
          <w:shd w:val="clear" w:color="auto" w:fill="FFFFFF"/>
        </w:rPr>
        <w:t xml:space="preserve">ont été </w:t>
      </w:r>
      <w:r w:rsidR="00F03F98" w:rsidRPr="009F3831">
        <w:rPr>
          <w:rFonts w:cs="Segoe UI"/>
          <w:color w:val="050505"/>
          <w:shd w:val="clear" w:color="auto" w:fill="FFFFFF"/>
        </w:rPr>
        <w:t>annoncées par le gouvernement en août 2020 en vue de la rentrée</w:t>
      </w:r>
      <w:r w:rsidR="005727B4" w:rsidRPr="009F3831">
        <w:rPr>
          <w:rFonts w:cs="Segoe UI"/>
          <w:color w:val="050505"/>
          <w:shd w:val="clear" w:color="auto" w:fill="FFFFFF"/>
        </w:rPr>
        <w:t xml:space="preserve">scolaire </w:t>
      </w:r>
      <w:r w:rsidR="00F03F98" w:rsidRPr="009F3831">
        <w:rPr>
          <w:rFonts w:cs="Segoe UI"/>
          <w:color w:val="050505"/>
          <w:shd w:val="clear" w:color="auto" w:fill="FFFFFF"/>
        </w:rPr>
        <w:t xml:space="preserve">. </w:t>
      </w:r>
      <w:r w:rsidR="00690067" w:rsidRPr="009F3831">
        <w:rPr>
          <w:rFonts w:cs="Segoe UI"/>
          <w:color w:val="050505"/>
          <w:shd w:val="clear" w:color="auto" w:fill="FFFFFF"/>
        </w:rPr>
        <w:t xml:space="preserve">Dans son avis, le </w:t>
      </w:r>
      <w:r w:rsidR="00F03F98" w:rsidRPr="009F3831">
        <w:rPr>
          <w:rFonts w:cs="Segoe UI"/>
          <w:color w:val="050505"/>
          <w:shd w:val="clear" w:color="auto" w:fill="FFFFFF"/>
        </w:rPr>
        <w:t>Conseil</w:t>
      </w:r>
      <w:r w:rsidR="00690067" w:rsidRPr="009F3831">
        <w:rPr>
          <w:rFonts w:cs="Segoe UI"/>
          <w:color w:val="050505"/>
          <w:shd w:val="clear" w:color="auto" w:fill="FFFFFF"/>
        </w:rPr>
        <w:t xml:space="preserve"> insiste notamment sur l’importance de </w:t>
      </w:r>
      <w:r w:rsidR="00F03F98" w:rsidRPr="009F3831">
        <w:rPr>
          <w:rFonts w:cs="Segoe UI"/>
          <w:color w:val="050505"/>
          <w:shd w:val="clear" w:color="auto" w:fill="FFFFFF"/>
        </w:rPr>
        <w:t xml:space="preserve">fournir des ressources d'aide psychosociale accessibles, universelles et </w:t>
      </w:r>
      <w:r w:rsidR="00524F79" w:rsidRPr="009F3831">
        <w:rPr>
          <w:rFonts w:cs="Segoe UI"/>
          <w:color w:val="050505"/>
          <w:shd w:val="clear" w:color="auto" w:fill="FFFFFF"/>
        </w:rPr>
        <w:t>disponibles au moment opportun. P</w:t>
      </w:r>
      <w:r w:rsidR="00F03F98" w:rsidRPr="009F3831">
        <w:rPr>
          <w:rFonts w:cs="Segoe UI"/>
          <w:color w:val="050505"/>
          <w:shd w:val="clear" w:color="auto" w:fill="FFFFFF"/>
        </w:rPr>
        <w:t>our y arriver</w:t>
      </w:r>
      <w:r w:rsidR="00524F79" w:rsidRPr="009F3831">
        <w:rPr>
          <w:rFonts w:cs="Segoe UI"/>
          <w:color w:val="050505"/>
          <w:shd w:val="clear" w:color="auto" w:fill="FFFFFF"/>
        </w:rPr>
        <w:t>,</w:t>
      </w:r>
      <w:r w:rsidR="00F03F98" w:rsidRPr="009F3831">
        <w:rPr>
          <w:rFonts w:cs="Segoe UI"/>
          <w:color w:val="050505"/>
          <w:shd w:val="clear" w:color="auto" w:fill="FFFFFF"/>
        </w:rPr>
        <w:t xml:space="preserve"> le Conseil recommandait de revoir le mandat des psychologues scolaires et de tout autre personnel professionnel concerné afin de les dégager des évaluations de nature administrative et de leur permettre ainsi d'agir en priorité en soutien aux enfants ainsi qu'aux </w:t>
      </w:r>
      <w:r w:rsidR="00F03F98" w:rsidRPr="009F3831">
        <w:rPr>
          <w:rFonts w:cs="Segoe UI"/>
          <w:color w:val="050505"/>
          <w:shd w:val="clear" w:color="auto" w:fill="FFFFFF"/>
        </w:rPr>
        <w:lastRenderedPageBreak/>
        <w:t>intervenantes et aux intervenants.</w:t>
      </w:r>
      <w:r w:rsidR="00220804" w:rsidRPr="009F3831">
        <w:rPr>
          <w:rFonts w:cs="Segoe UI"/>
          <w:color w:val="050505"/>
          <w:shd w:val="clear" w:color="auto" w:fill="FFFFFF"/>
        </w:rPr>
        <w:t xml:space="preserve"> En complément</w:t>
      </w:r>
      <w:r w:rsidR="00B455A8" w:rsidRPr="009F3831">
        <w:rPr>
          <w:rFonts w:cs="Segoe UI"/>
          <w:color w:val="050505"/>
          <w:shd w:val="clear" w:color="auto" w:fill="FFFFFF"/>
        </w:rPr>
        <w:t xml:space="preserve"> de cet avis</w:t>
      </w:r>
      <w:r w:rsidR="00220804" w:rsidRPr="009F3831">
        <w:rPr>
          <w:rFonts w:cs="Segoe UI"/>
          <w:color w:val="050505"/>
          <w:shd w:val="clear" w:color="auto" w:fill="FFFFFF"/>
        </w:rPr>
        <w:t xml:space="preserve">, le Conseil a </w:t>
      </w:r>
      <w:r w:rsidR="00524F79" w:rsidRPr="009F3831">
        <w:rPr>
          <w:rFonts w:cs="Segoe UI"/>
          <w:color w:val="050505"/>
          <w:shd w:val="clear" w:color="auto" w:fill="FFFFFF"/>
        </w:rPr>
        <w:t xml:space="preserve">également </w:t>
      </w:r>
      <w:r w:rsidR="00220804" w:rsidRPr="009F3831">
        <w:rPr>
          <w:rFonts w:cs="Segoe UI"/>
          <w:color w:val="050505"/>
          <w:shd w:val="clear" w:color="auto" w:fill="FFFFFF"/>
        </w:rPr>
        <w:t xml:space="preserve">publié </w:t>
      </w:r>
      <w:hyperlink r:id="rId19" w:history="1">
        <w:r w:rsidR="00220804" w:rsidRPr="009F3831">
          <w:rPr>
            <w:rStyle w:val="Hyperlink"/>
            <w:rFonts w:cs="Arial"/>
            <w:i/>
          </w:rPr>
          <w:t>L</w:t>
        </w:r>
        <w:r w:rsidR="00220804" w:rsidRPr="009F3831">
          <w:rPr>
            <w:rStyle w:val="Hyperlink"/>
            <w:rFonts w:cs="Segoe UI"/>
            <w:i/>
            <w:shd w:val="clear" w:color="auto" w:fill="FFFFFF"/>
          </w:rPr>
          <w:t>e bien-être de l’enfant à l’école primaire</w:t>
        </w:r>
        <w:r w:rsidR="00B455A8" w:rsidRPr="009F3831">
          <w:rPr>
            <w:rStyle w:val="Hyperlink"/>
            <w:rFonts w:cs="Segoe UI"/>
            <w:i/>
            <w:shd w:val="clear" w:color="auto" w:fill="FFFFFF"/>
          </w:rPr>
          <w:t xml:space="preserve"> </w:t>
        </w:r>
        <w:r w:rsidR="00220804" w:rsidRPr="009F3831">
          <w:rPr>
            <w:rStyle w:val="Hyperlink"/>
            <w:rFonts w:cs="Segoe UI"/>
            <w:i/>
            <w:shd w:val="clear" w:color="auto" w:fill="FFFFFF"/>
          </w:rPr>
          <w:t>Un regard sur certains facteurs de risque et de protection</w:t>
        </w:r>
      </w:hyperlink>
      <w:r w:rsidR="00220804" w:rsidRPr="009F3831">
        <w:rPr>
          <w:rFonts w:cs="Arial"/>
        </w:rPr>
        <w:t xml:space="preserve">. Ce </w:t>
      </w:r>
      <w:r w:rsidR="00524F79" w:rsidRPr="009F3831">
        <w:rPr>
          <w:rFonts w:cs="Arial"/>
        </w:rPr>
        <w:t>document</w:t>
      </w:r>
      <w:r w:rsidR="00220804" w:rsidRPr="009F3831">
        <w:rPr>
          <w:rFonts w:cs="Arial"/>
        </w:rPr>
        <w:t xml:space="preserve"> présent</w:t>
      </w:r>
      <w:r w:rsidR="00220804" w:rsidRPr="009F3831">
        <w:rPr>
          <w:rFonts w:cs="Segoe UI"/>
          <w:color w:val="050505"/>
          <w:shd w:val="clear" w:color="auto" w:fill="FFFFFF"/>
        </w:rPr>
        <w:t>e les facteurs qui ont un effet important sur le bien-être des enfants, qui relèvent de pratiques universelles et sur lesquels le système scolaire peut agir ou avoir une influence.</w:t>
      </w:r>
    </w:p>
    <w:p w14:paraId="0568E077" w14:textId="77777777" w:rsidR="00CC4C02" w:rsidRPr="009F3831" w:rsidRDefault="00CC4C02" w:rsidP="00A121FD">
      <w:pPr>
        <w:pStyle w:val="Lijstalinea"/>
        <w:rPr>
          <w:lang w:eastAsia="fr-CA"/>
        </w:rPr>
      </w:pPr>
    </w:p>
    <w:p w14:paraId="4CD84AE2" w14:textId="1AC752AD" w:rsidR="00CC4C02" w:rsidRPr="009F3831" w:rsidRDefault="00524F79" w:rsidP="00A121FD">
      <w:pPr>
        <w:pStyle w:val="Lijstalinea"/>
        <w:numPr>
          <w:ilvl w:val="0"/>
          <w:numId w:val="24"/>
        </w:numPr>
        <w:jc w:val="both"/>
      </w:pPr>
      <w:r w:rsidRPr="009F3831">
        <w:rPr>
          <w:lang w:eastAsia="fr-CA"/>
        </w:rPr>
        <w:t xml:space="preserve">En plein cœur de la pandémie qui a déstabilisé </w:t>
      </w:r>
      <w:r w:rsidR="00B91ECB" w:rsidRPr="009F3831">
        <w:rPr>
          <w:lang w:eastAsia="fr-CA"/>
        </w:rPr>
        <w:t xml:space="preserve">led système </w:t>
      </w:r>
      <w:r w:rsidR="00690067" w:rsidRPr="009F3831">
        <w:rPr>
          <w:lang w:eastAsia="fr-CA"/>
        </w:rPr>
        <w:t xml:space="preserve">d’éducation </w:t>
      </w:r>
      <w:r w:rsidRPr="009F3831">
        <w:rPr>
          <w:lang w:eastAsia="fr-CA"/>
        </w:rPr>
        <w:t xml:space="preserve">à l’échelle planétaire, la technologie numérique s’est révélée cruciale. La crise sanitaire a obligé les établissements à mettre en place des mesures de rechange d’enseignement à distance, pour lesquelles tous n’étaient pas également préparés. </w:t>
      </w:r>
      <w:r w:rsidR="006E2D90" w:rsidRPr="009F3831">
        <w:rPr>
          <w:lang w:eastAsia="fr-CA"/>
        </w:rPr>
        <w:t xml:space="preserve">Le document d’étude et de recherche intitulé </w:t>
      </w:r>
      <w:hyperlink r:id="rId20" w:history="1">
        <w:r w:rsidR="006E2D90" w:rsidRPr="009F3831">
          <w:rPr>
            <w:rStyle w:val="Hyperlink"/>
            <w:i/>
            <w:lang w:eastAsia="fr-CA"/>
          </w:rPr>
          <w:t>Discours, imaginaires et représentations sociales du numérique en éducation</w:t>
        </w:r>
      </w:hyperlink>
      <w:r w:rsidR="006E2D90" w:rsidRPr="009F3831">
        <w:rPr>
          <w:i/>
          <w:lang w:eastAsia="fr-CA"/>
        </w:rPr>
        <w:t xml:space="preserve"> </w:t>
      </w:r>
      <w:r w:rsidR="006E2D90" w:rsidRPr="009F3831">
        <w:rPr>
          <w:lang w:eastAsia="fr-CA"/>
        </w:rPr>
        <w:t>approfondit la question des représentations sociales qui constituent des éléments fondamentaux pour expliquer la promotion, le rejet ou l’appropriation du numérique dans le contexte éducatif. Le décalage entre les discours observés traduit des différences d’opinions, de valeurs et de croyances qu’il faut prendre en considération pour mieux comprendre les défis reliés à l’intégration du numérique en éducation. L’étude publiée par le Conseil vient soutenir un dialogue nécessaire entre technophiles et technophobes.</w:t>
      </w:r>
    </w:p>
    <w:p w14:paraId="7D21BC66" w14:textId="77777777" w:rsidR="00CC4C02" w:rsidRPr="009F3831" w:rsidRDefault="00CC4C02" w:rsidP="00A121FD">
      <w:pPr>
        <w:pStyle w:val="Lijstalinea"/>
      </w:pPr>
    </w:p>
    <w:p w14:paraId="68103697" w14:textId="6DA992C8" w:rsidR="006E2D90" w:rsidRPr="009F3831" w:rsidRDefault="006E2D90" w:rsidP="00A121FD">
      <w:pPr>
        <w:pStyle w:val="Lijstalinea"/>
        <w:numPr>
          <w:ilvl w:val="0"/>
          <w:numId w:val="24"/>
        </w:numPr>
        <w:jc w:val="both"/>
      </w:pPr>
      <w:r w:rsidRPr="009F3831">
        <w:t xml:space="preserve">Les mesures de distanciation physique requises pour freiner la propagation de la COVID-19 ont amené de nombreux collèges et universités à se tourner vers la formation à distance. La flexibilité inhérente à ce type de formation représente un avantage indéniable dans les circonstances </w:t>
      </w:r>
      <w:r w:rsidR="00CC4C02" w:rsidRPr="009F3831">
        <w:t>du printemps dernier</w:t>
      </w:r>
      <w:r w:rsidRPr="009F3831">
        <w:t>. Toutefois,</w:t>
      </w:r>
      <w:r w:rsidR="00CC4C02" w:rsidRPr="009F3831">
        <w:t xml:space="preserve"> l</w:t>
      </w:r>
      <w:r w:rsidRPr="009F3831">
        <w:t>es établissements, leur personnel enseignant et leurs étudiantes et étudiants ne partent pas du même point pour aborder un changement aussi majeur. Une fois l’urgence de la pandémie de COVID-19 passée, les établissements d’enseignement supérieur pourront prendre du recul et réfléchir à la place que la formation à distance devrait occuper dans l’offre de formation et à la manière de l’inclure en respectant les principes d’accessibilité, de qualité et de viabilité.</w:t>
      </w:r>
      <w:r w:rsidR="00CC4C02" w:rsidRPr="009F3831">
        <w:t xml:space="preserve"> Pour soutenir cette réflexion et la replacer dans son contexte historique et théorique, le Conseil a publié un document d’étude et de recherche intitulé </w:t>
      </w:r>
      <w:hyperlink r:id="rId21" w:history="1">
        <w:r w:rsidR="00CC4C02" w:rsidRPr="009F3831">
          <w:rPr>
            <w:rStyle w:val="Hyperlink"/>
            <w:i/>
          </w:rPr>
          <w:t>Définitions et modalités de la formation à distance</w:t>
        </w:r>
      </w:hyperlink>
      <w:r w:rsidR="00CC4C02" w:rsidRPr="009F3831">
        <w:t xml:space="preserve">. </w:t>
      </w:r>
    </w:p>
    <w:p w14:paraId="5F700AA8" w14:textId="7EBC98E3" w:rsidR="001E734B" w:rsidRPr="009F3831" w:rsidRDefault="001E734B" w:rsidP="001E734B"/>
    <w:p w14:paraId="7B16255D" w14:textId="77777777" w:rsidR="00847DD3" w:rsidRPr="009F3831" w:rsidRDefault="00847DD3" w:rsidP="00847DD3">
      <w:pPr>
        <w:rPr>
          <w:color w:val="7F7F7F" w:themeColor="text1" w:themeTint="80"/>
        </w:rPr>
      </w:pPr>
    </w:p>
    <w:sectPr w:rsidR="00847DD3" w:rsidRPr="009F383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13E5" w14:textId="77777777" w:rsidR="00BE3C82" w:rsidRDefault="00BE3C82" w:rsidP="00926D8B">
      <w:pPr>
        <w:spacing w:after="0" w:line="240" w:lineRule="auto"/>
      </w:pPr>
      <w:r>
        <w:separator/>
      </w:r>
    </w:p>
  </w:endnote>
  <w:endnote w:type="continuationSeparator" w:id="0">
    <w:p w14:paraId="10371540" w14:textId="77777777" w:rsidR="00BE3C82" w:rsidRDefault="00BE3C82" w:rsidP="00926D8B">
      <w:pPr>
        <w:spacing w:after="0" w:line="240" w:lineRule="auto"/>
      </w:pPr>
      <w:r>
        <w:continuationSeparator/>
      </w:r>
    </w:p>
  </w:endnote>
  <w:endnote w:type="continuationNotice" w:id="1">
    <w:p w14:paraId="529C2921" w14:textId="77777777" w:rsidR="00BE3C82" w:rsidRDefault="00BE3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unito">
    <w:altName w:val="Nunito"/>
    <w:panose1 w:val="00000000000000000000"/>
    <w:charset w:val="00"/>
    <w:family w:val="swiss"/>
    <w:notTrueType/>
    <w:pitch w:val="default"/>
    <w:sig w:usb0="00000003" w:usb1="00000000" w:usb2="00000000" w:usb3="00000000" w:csb0="00000001" w:csb1="00000000"/>
  </w:font>
  <w:font w:name="Robot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C329" w14:textId="7E26A0F4" w:rsidR="00A320BC" w:rsidRDefault="00A320BC">
    <w:pPr>
      <w:pStyle w:val="Voettekst"/>
      <w:rPr>
        <w:color w:val="4F81BD" w:themeColor="accent1"/>
        <w:lang w:val="fr-FR"/>
      </w:rPr>
    </w:pPr>
    <w:r>
      <w:rPr>
        <w:noProof/>
        <w:color w:val="4F81BD" w:themeColor="accent1"/>
        <w:lang w:val="fr-CA" w:eastAsia="fr-CA"/>
      </w:rPr>
      <mc:AlternateContent>
        <mc:Choice Requires="wps">
          <w:drawing>
            <wp:anchor distT="0" distB="0" distL="114300" distR="114300" simplePos="0" relativeHeight="251659264" behindDoc="0" locked="0" layoutInCell="1" allowOverlap="1" wp14:anchorId="1836B7F4" wp14:editId="063BC44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44634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lang w:val="fr-FR"/>
      </w:rPr>
      <w:t xml:space="preserve">Document de travail – Conseil supérieur de l’éducation (Province de Québec - Canada) </w:t>
    </w:r>
    <w:r w:rsidR="00FA448D">
      <w:rPr>
        <w:color w:val="4F81BD" w:themeColor="accent1"/>
        <w:vertAlign w:val="superscript"/>
        <w:lang w:val="fr-FR"/>
      </w:rPr>
      <w:t>8</w:t>
    </w:r>
    <w:r w:rsidR="00EB256D">
      <w:rPr>
        <w:color w:val="4F81BD" w:themeColor="accent1"/>
        <w:lang w:val="fr-FR"/>
      </w:rPr>
      <w:t xml:space="preserve"> </w:t>
    </w:r>
    <w:r w:rsidR="004A217A">
      <w:rPr>
        <w:color w:val="4F81BD" w:themeColor="accent1"/>
        <w:lang w:val="fr-FR"/>
      </w:rPr>
      <w:t xml:space="preserve">9 </w:t>
    </w:r>
    <w:r w:rsidR="00EB256D">
      <w:rPr>
        <w:color w:val="4F81BD" w:themeColor="accent1"/>
        <w:lang w:val="fr-FR"/>
      </w:rPr>
      <w:t>septembre</w:t>
    </w:r>
    <w:r>
      <w:rPr>
        <w:color w:val="4F81BD" w:themeColor="accent1"/>
        <w:lang w:val="fr-FR"/>
      </w:rPr>
      <w:t xml:space="preserve"> 2020</w:t>
    </w:r>
  </w:p>
  <w:p w14:paraId="7A15318C" w14:textId="3F62DAA9" w:rsidR="00A320BC" w:rsidRDefault="00A320BC">
    <w:pPr>
      <w:pStyle w:val="Voettekst"/>
    </w:pPr>
    <w:r>
      <w:rPr>
        <w:rFonts w:asciiTheme="majorHAnsi" w:eastAsiaTheme="majorEastAsia" w:hAnsiTheme="majorHAnsi" w:cstheme="majorBidi"/>
        <w:color w:val="4F81BD" w:themeColor="accent1"/>
        <w:sz w:val="20"/>
        <w:szCs w:val="20"/>
        <w:lang w:val="fr-FR"/>
      </w:rPr>
      <w:t xml:space="preserve">p.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901524" w:rsidRPr="00901524">
      <w:rPr>
        <w:rFonts w:asciiTheme="majorHAnsi" w:eastAsiaTheme="majorEastAsia" w:hAnsiTheme="majorHAnsi" w:cstheme="majorBidi"/>
        <w:noProof/>
        <w:color w:val="4F81BD" w:themeColor="accent1"/>
        <w:sz w:val="20"/>
        <w:szCs w:val="20"/>
        <w:lang w:val="fr-FR"/>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09D68" w14:textId="77777777" w:rsidR="00BE3C82" w:rsidRDefault="00BE3C82" w:rsidP="00926D8B">
      <w:pPr>
        <w:spacing w:after="0" w:line="240" w:lineRule="auto"/>
      </w:pPr>
      <w:r>
        <w:separator/>
      </w:r>
    </w:p>
  </w:footnote>
  <w:footnote w:type="continuationSeparator" w:id="0">
    <w:p w14:paraId="6CC7F19F" w14:textId="77777777" w:rsidR="00BE3C82" w:rsidRDefault="00BE3C82" w:rsidP="00926D8B">
      <w:pPr>
        <w:spacing w:after="0" w:line="240" w:lineRule="auto"/>
      </w:pPr>
      <w:r>
        <w:continuationSeparator/>
      </w:r>
    </w:p>
  </w:footnote>
  <w:footnote w:type="continuationNotice" w:id="1">
    <w:p w14:paraId="4357DADB" w14:textId="77777777" w:rsidR="00BE3C82" w:rsidRDefault="00BE3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45778" w14:textId="3FE21AE5" w:rsidR="00A320BC" w:rsidRDefault="00A320BC">
    <w:pPr>
      <w:pStyle w:val="Koptekst"/>
    </w:pPr>
    <w:r>
      <w:t>EUN/2020/DOC/014</w:t>
    </w:r>
  </w:p>
  <w:p w14:paraId="7F4D5F9D" w14:textId="168B06F1" w:rsidR="00A320BC" w:rsidRDefault="00A320BC">
    <w:pPr>
      <w:pStyle w:val="Koptekst"/>
    </w:pPr>
    <w:r>
      <w:t>22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0A4C"/>
    <w:multiLevelType w:val="hybridMultilevel"/>
    <w:tmpl w:val="5C6860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BB28E8"/>
    <w:multiLevelType w:val="hybridMultilevel"/>
    <w:tmpl w:val="FBAE0B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75A1469"/>
    <w:multiLevelType w:val="multilevel"/>
    <w:tmpl w:val="FE1050CE"/>
    <w:lvl w:ilvl="0">
      <w:start w:val="1"/>
      <w:numFmt w:val="upperLetter"/>
      <w:lvlText w:val="%1."/>
      <w:lvlJc w:val="left"/>
      <w:pPr>
        <w:ind w:left="360" w:hanging="360"/>
      </w:pPr>
      <w:rPr>
        <w:rFonts w:ascii="Verdana" w:eastAsia="Times New Roman" w:hAnsi="Verdan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915BA8"/>
    <w:multiLevelType w:val="hybridMultilevel"/>
    <w:tmpl w:val="8CDA2B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960773"/>
    <w:multiLevelType w:val="hybridMultilevel"/>
    <w:tmpl w:val="F6327A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BA41C2C"/>
    <w:multiLevelType w:val="hybridMultilevel"/>
    <w:tmpl w:val="C12A0A4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3E1171"/>
    <w:multiLevelType w:val="hybridMultilevel"/>
    <w:tmpl w:val="4E267376"/>
    <w:lvl w:ilvl="0" w:tplc="0C0C0001">
      <w:start w:val="1"/>
      <w:numFmt w:val="bullet"/>
      <w:lvlText w:val=""/>
      <w:lvlJc w:val="left"/>
      <w:pPr>
        <w:ind w:left="1428" w:hanging="360"/>
      </w:pPr>
      <w:rPr>
        <w:rFonts w:ascii="Symbol" w:hAnsi="Symbol" w:hint="default"/>
      </w:rPr>
    </w:lvl>
    <w:lvl w:ilvl="1" w:tplc="0C0C0001">
      <w:start w:val="1"/>
      <w:numFmt w:val="bullet"/>
      <w:lvlText w:val=""/>
      <w:lvlJc w:val="left"/>
      <w:pPr>
        <w:ind w:left="2148" w:hanging="360"/>
      </w:pPr>
      <w:rPr>
        <w:rFonts w:ascii="Symbol" w:hAnsi="Symbol"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 w15:restartNumberingAfterBreak="0">
    <w:nsid w:val="2F017095"/>
    <w:multiLevelType w:val="hybridMultilevel"/>
    <w:tmpl w:val="879290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60E07C4"/>
    <w:multiLevelType w:val="hybridMultilevel"/>
    <w:tmpl w:val="401E35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747552B"/>
    <w:multiLevelType w:val="hybridMultilevel"/>
    <w:tmpl w:val="59E8B3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CDC7722"/>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B85D9A"/>
    <w:multiLevelType w:val="hybridMultilevel"/>
    <w:tmpl w:val="A9A481BA"/>
    <w:lvl w:ilvl="0" w:tplc="203264D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A9719F"/>
    <w:multiLevelType w:val="hybridMultilevel"/>
    <w:tmpl w:val="2DCC3280"/>
    <w:lvl w:ilvl="0" w:tplc="5E7E7CAA">
      <w:start w:val="3"/>
      <w:numFmt w:val="bullet"/>
      <w:lvlText w:val="-"/>
      <w:lvlJc w:val="left"/>
      <w:pPr>
        <w:ind w:left="1068" w:hanging="360"/>
      </w:pPr>
      <w:rPr>
        <w:rFonts w:ascii="Calibri" w:eastAsia="Calibr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3" w15:restartNumberingAfterBreak="0">
    <w:nsid w:val="4B1F1DAA"/>
    <w:multiLevelType w:val="hybridMultilevel"/>
    <w:tmpl w:val="50344D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ED91107"/>
    <w:multiLevelType w:val="hybridMultilevel"/>
    <w:tmpl w:val="FABCB7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4DF3428"/>
    <w:multiLevelType w:val="multilevel"/>
    <w:tmpl w:val="547A3E5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16" w15:restartNumberingAfterBreak="0">
    <w:nsid w:val="5D7D6171"/>
    <w:multiLevelType w:val="hybridMultilevel"/>
    <w:tmpl w:val="3FC26480"/>
    <w:lvl w:ilvl="0" w:tplc="407ADF32">
      <w:numFmt w:val="bullet"/>
      <w:lvlText w:val="-"/>
      <w:lvlJc w:val="left"/>
      <w:pPr>
        <w:ind w:left="720" w:hanging="360"/>
      </w:pPr>
      <w:rPr>
        <w:rFonts w:ascii="Arial" w:eastAsiaTheme="minorHAnsi" w:hAnsi="Arial" w:cs="Arial" w:hint="default"/>
        <w:b w:val="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DE96C9C"/>
    <w:multiLevelType w:val="hybridMultilevel"/>
    <w:tmpl w:val="DA8A65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3C665FE"/>
    <w:multiLevelType w:val="hybridMultilevel"/>
    <w:tmpl w:val="2A4E5D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6897371"/>
    <w:multiLevelType w:val="hybridMultilevel"/>
    <w:tmpl w:val="2D440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BED2F68"/>
    <w:multiLevelType w:val="multilevel"/>
    <w:tmpl w:val="7E2039A0"/>
    <w:lvl w:ilvl="0">
      <w:start w:val="1"/>
      <w:numFmt w:val="upperRoman"/>
      <w:lvlText w:val="%1."/>
      <w:lvlJc w:val="left"/>
      <w:pPr>
        <w:ind w:left="1080" w:hanging="72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61F6103"/>
    <w:multiLevelType w:val="hybridMultilevel"/>
    <w:tmpl w:val="08DEA6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A3F0870"/>
    <w:multiLevelType w:val="hybridMultilevel"/>
    <w:tmpl w:val="ED86B386"/>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AD66B3"/>
    <w:multiLevelType w:val="hybridMultilevel"/>
    <w:tmpl w:val="57C6D9A8"/>
    <w:lvl w:ilvl="0" w:tplc="0C0C0001">
      <w:start w:val="1"/>
      <w:numFmt w:val="bullet"/>
      <w:lvlText w:val=""/>
      <w:lvlJc w:val="left"/>
      <w:pPr>
        <w:ind w:left="1423" w:hanging="360"/>
      </w:pPr>
      <w:rPr>
        <w:rFonts w:ascii="Symbol" w:hAnsi="Symbol" w:hint="default"/>
      </w:rPr>
    </w:lvl>
    <w:lvl w:ilvl="1" w:tplc="0C0C0003" w:tentative="1">
      <w:start w:val="1"/>
      <w:numFmt w:val="bullet"/>
      <w:lvlText w:val="o"/>
      <w:lvlJc w:val="left"/>
      <w:pPr>
        <w:ind w:left="2143" w:hanging="360"/>
      </w:pPr>
      <w:rPr>
        <w:rFonts w:ascii="Courier New" w:hAnsi="Courier New" w:cs="Courier New" w:hint="default"/>
      </w:rPr>
    </w:lvl>
    <w:lvl w:ilvl="2" w:tplc="0C0C0005" w:tentative="1">
      <w:start w:val="1"/>
      <w:numFmt w:val="bullet"/>
      <w:lvlText w:val=""/>
      <w:lvlJc w:val="left"/>
      <w:pPr>
        <w:ind w:left="2863" w:hanging="360"/>
      </w:pPr>
      <w:rPr>
        <w:rFonts w:ascii="Wingdings" w:hAnsi="Wingdings" w:hint="default"/>
      </w:rPr>
    </w:lvl>
    <w:lvl w:ilvl="3" w:tplc="0C0C0001" w:tentative="1">
      <w:start w:val="1"/>
      <w:numFmt w:val="bullet"/>
      <w:lvlText w:val=""/>
      <w:lvlJc w:val="left"/>
      <w:pPr>
        <w:ind w:left="3583" w:hanging="360"/>
      </w:pPr>
      <w:rPr>
        <w:rFonts w:ascii="Symbol" w:hAnsi="Symbol" w:hint="default"/>
      </w:rPr>
    </w:lvl>
    <w:lvl w:ilvl="4" w:tplc="0C0C0003" w:tentative="1">
      <w:start w:val="1"/>
      <w:numFmt w:val="bullet"/>
      <w:lvlText w:val="o"/>
      <w:lvlJc w:val="left"/>
      <w:pPr>
        <w:ind w:left="4303" w:hanging="360"/>
      </w:pPr>
      <w:rPr>
        <w:rFonts w:ascii="Courier New" w:hAnsi="Courier New" w:cs="Courier New" w:hint="default"/>
      </w:rPr>
    </w:lvl>
    <w:lvl w:ilvl="5" w:tplc="0C0C0005" w:tentative="1">
      <w:start w:val="1"/>
      <w:numFmt w:val="bullet"/>
      <w:lvlText w:val=""/>
      <w:lvlJc w:val="left"/>
      <w:pPr>
        <w:ind w:left="5023" w:hanging="360"/>
      </w:pPr>
      <w:rPr>
        <w:rFonts w:ascii="Wingdings" w:hAnsi="Wingdings" w:hint="default"/>
      </w:rPr>
    </w:lvl>
    <w:lvl w:ilvl="6" w:tplc="0C0C0001" w:tentative="1">
      <w:start w:val="1"/>
      <w:numFmt w:val="bullet"/>
      <w:lvlText w:val=""/>
      <w:lvlJc w:val="left"/>
      <w:pPr>
        <w:ind w:left="5743" w:hanging="360"/>
      </w:pPr>
      <w:rPr>
        <w:rFonts w:ascii="Symbol" w:hAnsi="Symbol" w:hint="default"/>
      </w:rPr>
    </w:lvl>
    <w:lvl w:ilvl="7" w:tplc="0C0C0003" w:tentative="1">
      <w:start w:val="1"/>
      <w:numFmt w:val="bullet"/>
      <w:lvlText w:val="o"/>
      <w:lvlJc w:val="left"/>
      <w:pPr>
        <w:ind w:left="6463" w:hanging="360"/>
      </w:pPr>
      <w:rPr>
        <w:rFonts w:ascii="Courier New" w:hAnsi="Courier New" w:cs="Courier New" w:hint="default"/>
      </w:rPr>
    </w:lvl>
    <w:lvl w:ilvl="8" w:tplc="0C0C0005" w:tentative="1">
      <w:start w:val="1"/>
      <w:numFmt w:val="bullet"/>
      <w:lvlText w:val=""/>
      <w:lvlJc w:val="left"/>
      <w:pPr>
        <w:ind w:left="7183" w:hanging="360"/>
      </w:pPr>
      <w:rPr>
        <w:rFonts w:ascii="Wingdings" w:hAnsi="Wingdings" w:hint="default"/>
      </w:rPr>
    </w:lvl>
  </w:abstractNum>
  <w:num w:numId="1">
    <w:abstractNumId w:val="11"/>
  </w:num>
  <w:num w:numId="2">
    <w:abstractNumId w:val="15"/>
  </w:num>
  <w:num w:numId="3">
    <w:abstractNumId w:val="20"/>
  </w:num>
  <w:num w:numId="4">
    <w:abstractNumId w:val="12"/>
  </w:num>
  <w:num w:numId="5">
    <w:abstractNumId w:val="2"/>
  </w:num>
  <w:num w:numId="6">
    <w:abstractNumId w:val="10"/>
  </w:num>
  <w:num w:numId="7">
    <w:abstractNumId w:val="6"/>
  </w:num>
  <w:num w:numId="8">
    <w:abstractNumId w:val="5"/>
  </w:num>
  <w:num w:numId="9">
    <w:abstractNumId w:val="17"/>
  </w:num>
  <w:num w:numId="10">
    <w:abstractNumId w:val="9"/>
  </w:num>
  <w:num w:numId="11">
    <w:abstractNumId w:val="23"/>
  </w:num>
  <w:num w:numId="12">
    <w:abstractNumId w:val="7"/>
  </w:num>
  <w:num w:numId="13">
    <w:abstractNumId w:val="16"/>
  </w:num>
  <w:num w:numId="14">
    <w:abstractNumId w:val="3"/>
  </w:num>
  <w:num w:numId="15">
    <w:abstractNumId w:val="21"/>
  </w:num>
  <w:num w:numId="16">
    <w:abstractNumId w:val="0"/>
  </w:num>
  <w:num w:numId="17">
    <w:abstractNumId w:val="13"/>
  </w:num>
  <w:num w:numId="18">
    <w:abstractNumId w:val="14"/>
  </w:num>
  <w:num w:numId="19">
    <w:abstractNumId w:val="1"/>
  </w:num>
  <w:num w:numId="20">
    <w:abstractNumId w:val="19"/>
  </w:num>
  <w:num w:numId="21">
    <w:abstractNumId w:val="18"/>
  </w:num>
  <w:num w:numId="22">
    <w:abstractNumId w:val="8"/>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D"/>
    <w:rsid w:val="00005859"/>
    <w:rsid w:val="00007D44"/>
    <w:rsid w:val="000209CA"/>
    <w:rsid w:val="00041234"/>
    <w:rsid w:val="00042A34"/>
    <w:rsid w:val="000510A8"/>
    <w:rsid w:val="000534C2"/>
    <w:rsid w:val="00060965"/>
    <w:rsid w:val="000748EC"/>
    <w:rsid w:val="00081D6A"/>
    <w:rsid w:val="00097E0B"/>
    <w:rsid w:val="000A3073"/>
    <w:rsid w:val="000B32EF"/>
    <w:rsid w:val="000D7518"/>
    <w:rsid w:val="000F5990"/>
    <w:rsid w:val="0010189B"/>
    <w:rsid w:val="00113ED0"/>
    <w:rsid w:val="00124598"/>
    <w:rsid w:val="00132BD4"/>
    <w:rsid w:val="00140DFA"/>
    <w:rsid w:val="001442B3"/>
    <w:rsid w:val="00162734"/>
    <w:rsid w:val="00180BA7"/>
    <w:rsid w:val="001874BC"/>
    <w:rsid w:val="001966FC"/>
    <w:rsid w:val="001A4C99"/>
    <w:rsid w:val="001C0351"/>
    <w:rsid w:val="001E3EF3"/>
    <w:rsid w:val="001E734B"/>
    <w:rsid w:val="001F0034"/>
    <w:rsid w:val="001F0981"/>
    <w:rsid w:val="001F1277"/>
    <w:rsid w:val="00200CFC"/>
    <w:rsid w:val="00220804"/>
    <w:rsid w:val="002426B0"/>
    <w:rsid w:val="00286EAD"/>
    <w:rsid w:val="00292713"/>
    <w:rsid w:val="00294E0D"/>
    <w:rsid w:val="00296ACB"/>
    <w:rsid w:val="002B5D38"/>
    <w:rsid w:val="002C06C9"/>
    <w:rsid w:val="002D658A"/>
    <w:rsid w:val="002E276E"/>
    <w:rsid w:val="003067C5"/>
    <w:rsid w:val="00306AF8"/>
    <w:rsid w:val="0034115F"/>
    <w:rsid w:val="00344DC9"/>
    <w:rsid w:val="0035395A"/>
    <w:rsid w:val="00376C04"/>
    <w:rsid w:val="00385A75"/>
    <w:rsid w:val="003A3154"/>
    <w:rsid w:val="003A5AC3"/>
    <w:rsid w:val="003C3536"/>
    <w:rsid w:val="003C4CD8"/>
    <w:rsid w:val="003D0ADE"/>
    <w:rsid w:val="003D499D"/>
    <w:rsid w:val="003F13B8"/>
    <w:rsid w:val="004256E0"/>
    <w:rsid w:val="00432A6A"/>
    <w:rsid w:val="00444955"/>
    <w:rsid w:val="00460FAF"/>
    <w:rsid w:val="00461218"/>
    <w:rsid w:val="004764CE"/>
    <w:rsid w:val="00485223"/>
    <w:rsid w:val="00485564"/>
    <w:rsid w:val="004855FC"/>
    <w:rsid w:val="00493B0E"/>
    <w:rsid w:val="004A217A"/>
    <w:rsid w:val="004A6603"/>
    <w:rsid w:val="004B71F8"/>
    <w:rsid w:val="004C7273"/>
    <w:rsid w:val="004D1D7C"/>
    <w:rsid w:val="004D38B0"/>
    <w:rsid w:val="004E3E0A"/>
    <w:rsid w:val="004E7443"/>
    <w:rsid w:val="004F011F"/>
    <w:rsid w:val="004F184B"/>
    <w:rsid w:val="00501BD1"/>
    <w:rsid w:val="00524F79"/>
    <w:rsid w:val="00553BD3"/>
    <w:rsid w:val="00555D70"/>
    <w:rsid w:val="005727B4"/>
    <w:rsid w:val="00574690"/>
    <w:rsid w:val="005751CD"/>
    <w:rsid w:val="005B1D9C"/>
    <w:rsid w:val="005B53C1"/>
    <w:rsid w:val="005C0F17"/>
    <w:rsid w:val="005C7AE8"/>
    <w:rsid w:val="005E29D8"/>
    <w:rsid w:val="0060664F"/>
    <w:rsid w:val="00614418"/>
    <w:rsid w:val="00642789"/>
    <w:rsid w:val="00654AB4"/>
    <w:rsid w:val="00661647"/>
    <w:rsid w:val="00662272"/>
    <w:rsid w:val="00690067"/>
    <w:rsid w:val="006970BB"/>
    <w:rsid w:val="006A1B3A"/>
    <w:rsid w:val="006A2CCD"/>
    <w:rsid w:val="006A2D51"/>
    <w:rsid w:val="006C5F81"/>
    <w:rsid w:val="006E2D90"/>
    <w:rsid w:val="006F39BF"/>
    <w:rsid w:val="006F4497"/>
    <w:rsid w:val="00706E4D"/>
    <w:rsid w:val="00736F22"/>
    <w:rsid w:val="00740B2B"/>
    <w:rsid w:val="0074592C"/>
    <w:rsid w:val="00756F3B"/>
    <w:rsid w:val="007668CE"/>
    <w:rsid w:val="00787431"/>
    <w:rsid w:val="0079273A"/>
    <w:rsid w:val="007A68E8"/>
    <w:rsid w:val="007B47CF"/>
    <w:rsid w:val="007C0BCD"/>
    <w:rsid w:val="007C5A48"/>
    <w:rsid w:val="007D0AAB"/>
    <w:rsid w:val="007D72A0"/>
    <w:rsid w:val="007E3A0D"/>
    <w:rsid w:val="007F1FE9"/>
    <w:rsid w:val="00807B98"/>
    <w:rsid w:val="00815A85"/>
    <w:rsid w:val="00827991"/>
    <w:rsid w:val="0084205E"/>
    <w:rsid w:val="00847DD3"/>
    <w:rsid w:val="008665E3"/>
    <w:rsid w:val="008770BF"/>
    <w:rsid w:val="008852EF"/>
    <w:rsid w:val="008B3E14"/>
    <w:rsid w:val="008C4B8F"/>
    <w:rsid w:val="008D1238"/>
    <w:rsid w:val="008E38A3"/>
    <w:rsid w:val="008E6E24"/>
    <w:rsid w:val="008F108A"/>
    <w:rsid w:val="009010B6"/>
    <w:rsid w:val="00901524"/>
    <w:rsid w:val="00903C4C"/>
    <w:rsid w:val="00904E71"/>
    <w:rsid w:val="009131C1"/>
    <w:rsid w:val="00926D8B"/>
    <w:rsid w:val="0093132B"/>
    <w:rsid w:val="00944F00"/>
    <w:rsid w:val="009473B8"/>
    <w:rsid w:val="00952623"/>
    <w:rsid w:val="00953875"/>
    <w:rsid w:val="009645DF"/>
    <w:rsid w:val="00964CD5"/>
    <w:rsid w:val="00972DA9"/>
    <w:rsid w:val="00981CDB"/>
    <w:rsid w:val="00995EF3"/>
    <w:rsid w:val="00997333"/>
    <w:rsid w:val="009B57D8"/>
    <w:rsid w:val="009D0476"/>
    <w:rsid w:val="009D5623"/>
    <w:rsid w:val="009E19F4"/>
    <w:rsid w:val="009F237B"/>
    <w:rsid w:val="009F3831"/>
    <w:rsid w:val="00A00736"/>
    <w:rsid w:val="00A06391"/>
    <w:rsid w:val="00A121FD"/>
    <w:rsid w:val="00A154C5"/>
    <w:rsid w:val="00A160DA"/>
    <w:rsid w:val="00A20411"/>
    <w:rsid w:val="00A320BC"/>
    <w:rsid w:val="00A6132A"/>
    <w:rsid w:val="00A703F6"/>
    <w:rsid w:val="00A70C3B"/>
    <w:rsid w:val="00A87105"/>
    <w:rsid w:val="00AB0356"/>
    <w:rsid w:val="00AB4434"/>
    <w:rsid w:val="00AB6386"/>
    <w:rsid w:val="00AC3025"/>
    <w:rsid w:val="00AC71A9"/>
    <w:rsid w:val="00AE1018"/>
    <w:rsid w:val="00AE7AAE"/>
    <w:rsid w:val="00AF296B"/>
    <w:rsid w:val="00AF372A"/>
    <w:rsid w:val="00B00C3E"/>
    <w:rsid w:val="00B15EDB"/>
    <w:rsid w:val="00B207D2"/>
    <w:rsid w:val="00B455A8"/>
    <w:rsid w:val="00B556BC"/>
    <w:rsid w:val="00B61377"/>
    <w:rsid w:val="00B63446"/>
    <w:rsid w:val="00B7175D"/>
    <w:rsid w:val="00B76B30"/>
    <w:rsid w:val="00B853A3"/>
    <w:rsid w:val="00B86D60"/>
    <w:rsid w:val="00B91ECB"/>
    <w:rsid w:val="00BC05B0"/>
    <w:rsid w:val="00BC15CE"/>
    <w:rsid w:val="00BC563F"/>
    <w:rsid w:val="00BD3F17"/>
    <w:rsid w:val="00BE3C82"/>
    <w:rsid w:val="00BE6E81"/>
    <w:rsid w:val="00BE7985"/>
    <w:rsid w:val="00BF7514"/>
    <w:rsid w:val="00C01AF4"/>
    <w:rsid w:val="00C05992"/>
    <w:rsid w:val="00C068B6"/>
    <w:rsid w:val="00C228A7"/>
    <w:rsid w:val="00C26494"/>
    <w:rsid w:val="00C27A8E"/>
    <w:rsid w:val="00C32787"/>
    <w:rsid w:val="00C35991"/>
    <w:rsid w:val="00C7157E"/>
    <w:rsid w:val="00C7376F"/>
    <w:rsid w:val="00C81354"/>
    <w:rsid w:val="00C837CB"/>
    <w:rsid w:val="00C868C9"/>
    <w:rsid w:val="00C90C0A"/>
    <w:rsid w:val="00CB2726"/>
    <w:rsid w:val="00CC4C02"/>
    <w:rsid w:val="00CD1441"/>
    <w:rsid w:val="00CD73AE"/>
    <w:rsid w:val="00CD77AD"/>
    <w:rsid w:val="00CF4BDE"/>
    <w:rsid w:val="00CF5B3C"/>
    <w:rsid w:val="00D14100"/>
    <w:rsid w:val="00D151CE"/>
    <w:rsid w:val="00D34176"/>
    <w:rsid w:val="00D4581E"/>
    <w:rsid w:val="00D472C4"/>
    <w:rsid w:val="00D55D53"/>
    <w:rsid w:val="00D55DEE"/>
    <w:rsid w:val="00D565C3"/>
    <w:rsid w:val="00D57915"/>
    <w:rsid w:val="00D63DC3"/>
    <w:rsid w:val="00D66D9A"/>
    <w:rsid w:val="00DA654E"/>
    <w:rsid w:val="00DB67AD"/>
    <w:rsid w:val="00DD297A"/>
    <w:rsid w:val="00DE0021"/>
    <w:rsid w:val="00DE7A01"/>
    <w:rsid w:val="00DF6D51"/>
    <w:rsid w:val="00E11822"/>
    <w:rsid w:val="00E220F0"/>
    <w:rsid w:val="00E353D5"/>
    <w:rsid w:val="00E62A18"/>
    <w:rsid w:val="00E74B20"/>
    <w:rsid w:val="00E8302F"/>
    <w:rsid w:val="00E84031"/>
    <w:rsid w:val="00E84F83"/>
    <w:rsid w:val="00E934E0"/>
    <w:rsid w:val="00E941AD"/>
    <w:rsid w:val="00EB256D"/>
    <w:rsid w:val="00ED3B44"/>
    <w:rsid w:val="00ED57C5"/>
    <w:rsid w:val="00F03F98"/>
    <w:rsid w:val="00F1534D"/>
    <w:rsid w:val="00F16C97"/>
    <w:rsid w:val="00F301EE"/>
    <w:rsid w:val="00F33029"/>
    <w:rsid w:val="00F53C99"/>
    <w:rsid w:val="00F734A9"/>
    <w:rsid w:val="00F76674"/>
    <w:rsid w:val="00F9742C"/>
    <w:rsid w:val="00FA448D"/>
    <w:rsid w:val="00FA587F"/>
    <w:rsid w:val="00FA68B5"/>
    <w:rsid w:val="00FB36C1"/>
    <w:rsid w:val="00FC3FC4"/>
    <w:rsid w:val="00FD26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F6E4B"/>
  <w15:docId w15:val="{CDCEE6B7-6387-4153-9A96-87929A0E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67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DB67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DB67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DB67A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DB67AD"/>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DB67AD"/>
    <w:pPr>
      <w:keepNext/>
      <w:keepLines/>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DB67A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DB67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B67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67AD"/>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DB67AD"/>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DB67AD"/>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semiHidden/>
    <w:rsid w:val="00DB67AD"/>
    <w:rPr>
      <w:rFonts w:asciiTheme="majorHAnsi" w:eastAsiaTheme="majorEastAsia" w:hAnsiTheme="majorHAnsi" w:cstheme="majorBidi"/>
      <w:i/>
      <w:iCs/>
      <w:color w:val="365F91" w:themeColor="accent1" w:themeShade="BF"/>
    </w:rPr>
  </w:style>
  <w:style w:type="character" w:customStyle="1" w:styleId="Kop5Char">
    <w:name w:val="Kop 5 Char"/>
    <w:basedOn w:val="Standaardalinea-lettertype"/>
    <w:link w:val="Kop5"/>
    <w:uiPriority w:val="9"/>
    <w:semiHidden/>
    <w:rsid w:val="00DB67AD"/>
    <w:rPr>
      <w:rFonts w:asciiTheme="majorHAnsi" w:eastAsiaTheme="majorEastAsia" w:hAnsiTheme="majorHAnsi" w:cstheme="majorBidi"/>
      <w:color w:val="365F91" w:themeColor="accent1" w:themeShade="BF"/>
    </w:rPr>
  </w:style>
  <w:style w:type="character" w:customStyle="1" w:styleId="Kop6Char">
    <w:name w:val="Kop 6 Char"/>
    <w:basedOn w:val="Standaardalinea-lettertype"/>
    <w:link w:val="Kop6"/>
    <w:uiPriority w:val="9"/>
    <w:semiHidden/>
    <w:rsid w:val="00DB67AD"/>
    <w:rPr>
      <w:rFonts w:asciiTheme="majorHAnsi" w:eastAsiaTheme="majorEastAsia" w:hAnsiTheme="majorHAnsi" w:cstheme="majorBidi"/>
      <w:color w:val="243F60" w:themeColor="accent1" w:themeShade="7F"/>
    </w:rPr>
  </w:style>
  <w:style w:type="character" w:customStyle="1" w:styleId="Kop7Char">
    <w:name w:val="Kop 7 Char"/>
    <w:basedOn w:val="Standaardalinea-lettertype"/>
    <w:link w:val="Kop7"/>
    <w:uiPriority w:val="9"/>
    <w:semiHidden/>
    <w:rsid w:val="00DB67AD"/>
    <w:rPr>
      <w:rFonts w:asciiTheme="majorHAnsi" w:eastAsiaTheme="majorEastAsia" w:hAnsiTheme="majorHAnsi" w:cstheme="majorBidi"/>
      <w:i/>
      <w:iCs/>
      <w:color w:val="243F60" w:themeColor="accent1" w:themeShade="7F"/>
    </w:rPr>
  </w:style>
  <w:style w:type="character" w:customStyle="1" w:styleId="Kop8Char">
    <w:name w:val="Kop 8 Char"/>
    <w:basedOn w:val="Standaardalinea-lettertype"/>
    <w:link w:val="Kop8"/>
    <w:uiPriority w:val="9"/>
    <w:semiHidden/>
    <w:rsid w:val="00DB67A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B67AD"/>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6A2CCD"/>
    <w:pPr>
      <w:ind w:left="720"/>
      <w:contextualSpacing/>
    </w:pPr>
  </w:style>
  <w:style w:type="paragraph" w:styleId="Titel">
    <w:name w:val="Title"/>
    <w:basedOn w:val="Standaard"/>
    <w:next w:val="Standaard"/>
    <w:link w:val="TitelChar"/>
    <w:uiPriority w:val="10"/>
    <w:qFormat/>
    <w:rsid w:val="00926D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26D8B"/>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926D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6D8B"/>
  </w:style>
  <w:style w:type="paragraph" w:styleId="Voettekst">
    <w:name w:val="footer"/>
    <w:basedOn w:val="Standaard"/>
    <w:link w:val="VoettekstChar"/>
    <w:uiPriority w:val="99"/>
    <w:unhideWhenUsed/>
    <w:rsid w:val="00926D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6D8B"/>
  </w:style>
  <w:style w:type="paragraph" w:styleId="Ballontekst">
    <w:name w:val="Balloon Text"/>
    <w:basedOn w:val="Standaard"/>
    <w:link w:val="BallontekstChar"/>
    <w:uiPriority w:val="99"/>
    <w:semiHidden/>
    <w:unhideWhenUsed/>
    <w:rsid w:val="00AC71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71A9"/>
    <w:rPr>
      <w:rFonts w:ascii="Segoe UI" w:hAnsi="Segoe UI" w:cs="Segoe UI"/>
      <w:sz w:val="18"/>
      <w:szCs w:val="18"/>
    </w:rPr>
  </w:style>
  <w:style w:type="character" w:styleId="Nadruk">
    <w:name w:val="Emphasis"/>
    <w:basedOn w:val="Standaardalinea-lettertype"/>
    <w:uiPriority w:val="20"/>
    <w:qFormat/>
    <w:rsid w:val="0074592C"/>
    <w:rPr>
      <w:i/>
      <w:iCs/>
    </w:rPr>
  </w:style>
  <w:style w:type="character" w:styleId="Hyperlink">
    <w:name w:val="Hyperlink"/>
    <w:basedOn w:val="Standaardalinea-lettertype"/>
    <w:uiPriority w:val="99"/>
    <w:unhideWhenUsed/>
    <w:rsid w:val="00BE7985"/>
    <w:rPr>
      <w:color w:val="0563C1"/>
      <w:u w:val="single"/>
    </w:rPr>
  </w:style>
  <w:style w:type="paragraph" w:customStyle="1" w:styleId="Default">
    <w:name w:val="Default"/>
    <w:rsid w:val="00F734A9"/>
    <w:pPr>
      <w:autoSpaceDE w:val="0"/>
      <w:autoSpaceDN w:val="0"/>
      <w:adjustRightInd w:val="0"/>
      <w:spacing w:after="0" w:line="240" w:lineRule="auto"/>
    </w:pPr>
    <w:rPr>
      <w:rFonts w:ascii="Nunito" w:hAnsi="Nunito" w:cs="Nunito"/>
      <w:color w:val="000000"/>
      <w:sz w:val="24"/>
      <w:szCs w:val="24"/>
      <w:lang w:val="fr-CA"/>
    </w:rPr>
  </w:style>
  <w:style w:type="character" w:customStyle="1" w:styleId="A10">
    <w:name w:val="A10"/>
    <w:uiPriority w:val="99"/>
    <w:rsid w:val="00F734A9"/>
    <w:rPr>
      <w:rFonts w:cs="Nunito"/>
      <w:b/>
      <w:bCs/>
      <w:color w:val="000000"/>
      <w:sz w:val="15"/>
      <w:szCs w:val="15"/>
    </w:rPr>
  </w:style>
  <w:style w:type="paragraph" w:styleId="Tekstopmerking">
    <w:name w:val="annotation text"/>
    <w:basedOn w:val="Standaard"/>
    <w:link w:val="TekstopmerkingChar"/>
    <w:uiPriority w:val="99"/>
    <w:semiHidden/>
    <w:unhideWhenUsed/>
    <w:rsid w:val="004D1D7C"/>
    <w:pPr>
      <w:spacing w:after="160" w:line="240" w:lineRule="auto"/>
      <w:jc w:val="both"/>
    </w:pPr>
    <w:rPr>
      <w:sz w:val="20"/>
      <w:szCs w:val="20"/>
      <w:lang w:val="fr-CA"/>
    </w:rPr>
  </w:style>
  <w:style w:type="character" w:customStyle="1" w:styleId="TekstopmerkingChar">
    <w:name w:val="Tekst opmerking Char"/>
    <w:basedOn w:val="Standaardalinea-lettertype"/>
    <w:link w:val="Tekstopmerking"/>
    <w:uiPriority w:val="99"/>
    <w:semiHidden/>
    <w:rsid w:val="004D1D7C"/>
    <w:rPr>
      <w:sz w:val="20"/>
      <w:szCs w:val="20"/>
      <w:lang w:val="fr-CA"/>
    </w:rPr>
  </w:style>
  <w:style w:type="paragraph" w:styleId="Onderwerpvanopmerking">
    <w:name w:val="annotation subject"/>
    <w:basedOn w:val="Tekstopmerking"/>
    <w:next w:val="Tekstopmerking"/>
    <w:link w:val="OnderwerpvanopmerkingChar"/>
    <w:uiPriority w:val="99"/>
    <w:semiHidden/>
    <w:unhideWhenUsed/>
    <w:rsid w:val="004D1D7C"/>
    <w:rPr>
      <w:b/>
      <w:bCs/>
    </w:rPr>
  </w:style>
  <w:style w:type="character" w:customStyle="1" w:styleId="OnderwerpvanopmerkingChar">
    <w:name w:val="Onderwerp van opmerking Char"/>
    <w:basedOn w:val="TekstopmerkingChar"/>
    <w:link w:val="Onderwerpvanopmerking"/>
    <w:uiPriority w:val="99"/>
    <w:semiHidden/>
    <w:rsid w:val="004D1D7C"/>
    <w:rPr>
      <w:b/>
      <w:bCs/>
      <w:sz w:val="20"/>
      <w:szCs w:val="20"/>
      <w:lang w:val="fr-CA"/>
    </w:rPr>
  </w:style>
  <w:style w:type="character" w:styleId="Verwijzingopmerking">
    <w:name w:val="annotation reference"/>
    <w:basedOn w:val="Standaardalinea-lettertype"/>
    <w:uiPriority w:val="99"/>
    <w:semiHidden/>
    <w:unhideWhenUsed/>
    <w:rsid w:val="008770BF"/>
    <w:rPr>
      <w:sz w:val="16"/>
      <w:szCs w:val="16"/>
    </w:rPr>
  </w:style>
  <w:style w:type="table" w:styleId="Tabelraster">
    <w:name w:val="Table Grid"/>
    <w:basedOn w:val="Standaardtabel"/>
    <w:uiPriority w:val="39"/>
    <w:rsid w:val="00C7157E"/>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B6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648103">
      <w:bodyDiv w:val="1"/>
      <w:marLeft w:val="0"/>
      <w:marRight w:val="0"/>
      <w:marTop w:val="0"/>
      <w:marBottom w:val="0"/>
      <w:divBdr>
        <w:top w:val="none" w:sz="0" w:space="0" w:color="auto"/>
        <w:left w:val="none" w:sz="0" w:space="0" w:color="auto"/>
        <w:bottom w:val="none" w:sz="0" w:space="0" w:color="auto"/>
        <w:right w:val="none" w:sz="0" w:space="0" w:color="auto"/>
      </w:divBdr>
    </w:div>
    <w:div w:id="1095978381">
      <w:bodyDiv w:val="1"/>
      <w:marLeft w:val="0"/>
      <w:marRight w:val="0"/>
      <w:marTop w:val="0"/>
      <w:marBottom w:val="0"/>
      <w:divBdr>
        <w:top w:val="none" w:sz="0" w:space="0" w:color="auto"/>
        <w:left w:val="none" w:sz="0" w:space="0" w:color="auto"/>
        <w:bottom w:val="none" w:sz="0" w:space="0" w:color="auto"/>
        <w:right w:val="none" w:sz="0" w:space="0" w:color="auto"/>
      </w:divBdr>
    </w:div>
    <w:div w:id="1346707330">
      <w:bodyDiv w:val="1"/>
      <w:marLeft w:val="0"/>
      <w:marRight w:val="0"/>
      <w:marTop w:val="0"/>
      <w:marBottom w:val="0"/>
      <w:divBdr>
        <w:top w:val="none" w:sz="0" w:space="0" w:color="auto"/>
        <w:left w:val="none" w:sz="0" w:space="0" w:color="auto"/>
        <w:bottom w:val="none" w:sz="0" w:space="0" w:color="auto"/>
        <w:right w:val="none" w:sz="0" w:space="0" w:color="auto"/>
      </w:divBdr>
    </w:div>
    <w:div w:id="15180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oleouverte.ca/fr/?" TargetMode="External"/><Relationship Id="rId18" Type="http://schemas.openxmlformats.org/officeDocument/2006/relationships/hyperlink" Target="https://www.youtube.com/playlist?list=PL7xK7_BJ0pSUIzLJbL94tKvBltUxJa2K8" TargetMode="External"/><Relationship Id="rId3" Type="http://schemas.openxmlformats.org/officeDocument/2006/relationships/customXml" Target="../customXml/item3.xml"/><Relationship Id="rId21" Type="http://schemas.openxmlformats.org/officeDocument/2006/relationships/hyperlink" Target="https://www.cse.gouv.qc.ca/type_de_publication/formation-a-distance-50-2108/"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Charlemagne/don/EndNotes/CREBE/CREBE%202020-2022/BD%20directives%20Ligne%20du%20temps/Lettres%20et%20Directives%20MEES/Formation_rentr&#233;e%20scolaire_2020-2021_21%20ao&#251;t%2020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nesst.gouv.qc.ca/salle-de-presse/covid-19/Pages/outils-secteur-education.aspx" TargetMode="External"/><Relationship Id="rId20" Type="http://schemas.openxmlformats.org/officeDocument/2006/relationships/hyperlink" Target="https://www.cse.gouv.qc.ca/type_de_publication/rep-sociales-numerique-en-education-50-210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enseigneadistance.teluq.ca/course/view.php?id=2"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HARLEMAGNE/DON/EndNotes/CREBE/CREBE%202020-2022/Le%20bien-&#234;tre%20de%20l&#8217;enfant%20&#224;%20l&#8217;&#233;cole%20primaireUn%20regard%20sur%20certains%20facteurs%20de%20risque%20et%20de%20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classe.telequebec.tv/"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35f6fb-1165-4b91-a168-522f87563d43">QM5P4ZDXZJVS-288-5241</_dlc_DocId>
    <_dlc_DocIdUrl xmlns="ca35f6fb-1165-4b91-a168-522f87563d43">
      <Url>https://sharepoint.vlor.be/eunec/_layouts/DocIdRedir.aspx?ID=QM5P4ZDXZJVS-288-5241</Url>
      <Description>QM5P4ZDXZJVS-288-5241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4FF95E19295D45A7D48A499DA2F5B5" ma:contentTypeVersion="0" ma:contentTypeDescription="Een nieuw document maken." ma:contentTypeScope="" ma:versionID="109325a2ca6dd93d33dfd93d42203f61">
  <xsd:schema xmlns:xsd="http://www.w3.org/2001/XMLSchema" xmlns:xs="http://www.w3.org/2001/XMLSchema" xmlns:p="http://schemas.microsoft.com/office/2006/metadata/properties" xmlns:ns2="ca35f6fb-1165-4b91-a168-522f87563d43" targetNamespace="http://schemas.microsoft.com/office/2006/metadata/properties" ma:root="true" ma:fieldsID="5151203c7546b48781e3c3f7f7ee3f74" ns2:_="">
    <xsd:import namespace="ca35f6fb-1165-4b91-a168-522f87563d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5f6fb-1165-4b91-a168-522f87563d4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774B7-E0EC-4600-AC7C-34607823C209}">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ca35f6fb-1165-4b91-a168-522f87563d43"/>
    <ds:schemaRef ds:uri="http://purl.org/dc/terms/"/>
  </ds:schemaRefs>
</ds:datastoreItem>
</file>

<file path=customXml/itemProps2.xml><?xml version="1.0" encoding="utf-8"?>
<ds:datastoreItem xmlns:ds="http://schemas.openxmlformats.org/officeDocument/2006/customXml" ds:itemID="{F73B839B-6498-418B-9FF7-855D3DFF6171}">
  <ds:schemaRefs>
    <ds:schemaRef ds:uri="http://schemas.microsoft.com/sharepoint/events"/>
  </ds:schemaRefs>
</ds:datastoreItem>
</file>

<file path=customXml/itemProps3.xml><?xml version="1.0" encoding="utf-8"?>
<ds:datastoreItem xmlns:ds="http://schemas.openxmlformats.org/officeDocument/2006/customXml" ds:itemID="{F5C1DCE8-4AF0-476A-BC6A-F0D4CB13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5f6fb-1165-4b91-a168-522f8756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0421F-289F-4507-8582-C1D191DD23CD}">
  <ds:schemaRefs>
    <ds:schemaRef ds:uri="http://schemas.openxmlformats.org/officeDocument/2006/bibliography"/>
  </ds:schemaRefs>
</ds:datastoreItem>
</file>

<file path=customXml/itemProps5.xml><?xml version="1.0" encoding="utf-8"?>
<ds:datastoreItem xmlns:ds="http://schemas.openxmlformats.org/officeDocument/2006/customXml" ds:itemID="{A2A856A4-993D-42F0-983F-F536E1C12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4985</Words>
  <Characters>27421</Characters>
  <Application>Microsoft Office Word</Application>
  <DocSecurity>0</DocSecurity>
  <Lines>228</Lines>
  <Paragraphs>64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De Smet</dc:creator>
  <cp:lastModifiedBy>Carine De Smet</cp:lastModifiedBy>
  <cp:revision>3</cp:revision>
  <cp:lastPrinted>2020-09-01T12:56:00Z</cp:lastPrinted>
  <dcterms:created xsi:type="dcterms:W3CDTF">2020-09-11T19:32:00Z</dcterms:created>
  <dcterms:modified xsi:type="dcterms:W3CDTF">2020-09-25T07:22:00Z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0x010100284FF95E19295D45A7D48A499DA2F5B5</vt:lpwstr>
  </property>
  <property fmtid="{D5CDD505-2E9C-101B-9397-08002B2CF9AE}" pid="3" name="_dlc_DocIdItemGuid">
    <vt:lpwstr>7fd60f0a-2aa6-4094-a728-904db91cf42d</vt:lpwstr>
  </property>
</Properties>
</file>